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2A564" w14:textId="4C4B707C" w:rsidR="00960B44" w:rsidRPr="00DC3921" w:rsidRDefault="00960B44" w:rsidP="00960B4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noProof/>
          <w:sz w:val="24"/>
          <w:szCs w:val="20"/>
          <w:lang w:val="de-DE"/>
        </w:rPr>
      </w:pPr>
      <w:r w:rsidRPr="00DC3921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>3GPP TSG-RA</w:t>
      </w:r>
      <w:r w:rsidR="00E73984" w:rsidRPr="00DC3921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>N</w:t>
      </w:r>
      <w:r w:rsidR="00EC7CC3" w:rsidRPr="00DC3921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>2</w:t>
      </w:r>
      <w:r w:rsidR="00E73984" w:rsidRPr="00DC3921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>#11</w:t>
      </w:r>
      <w:r w:rsidR="001F657F" w:rsidRPr="00DC3921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>9</w:t>
      </w:r>
      <w:r w:rsidR="00DC3921" w:rsidRPr="00DC3921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>bis-</w:t>
      </w:r>
      <w:r w:rsidR="00E73984" w:rsidRPr="00DC3921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>e</w:t>
      </w:r>
      <w:r w:rsidRPr="00DC3921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ab/>
      </w:r>
      <w:r w:rsidR="00A948BC" w:rsidRPr="00DC3921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>R2-22</w:t>
      </w:r>
      <w:r w:rsidR="008C4B53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>10230</w:t>
      </w:r>
    </w:p>
    <w:p w14:paraId="6D7FEBCE" w14:textId="2DA2B5B7" w:rsidR="00960B44" w:rsidRPr="007022BC" w:rsidRDefault="00960B44" w:rsidP="00960B4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</w:pPr>
      <w:r w:rsidRPr="007022BC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 xml:space="preserve">Online, </w:t>
      </w:r>
      <w:r w:rsidR="00DC3921">
        <w:rPr>
          <w:rFonts w:ascii="Times New Roman" w:eastAsia="SimSun" w:hAnsi="Times New Roman" w:cs="Times New Roman"/>
          <w:b/>
          <w:bCs/>
          <w:noProof/>
          <w:sz w:val="24"/>
          <w:szCs w:val="20"/>
        </w:rPr>
        <w:t xml:space="preserve">October </w:t>
      </w:r>
      <w:r w:rsidRPr="007022BC">
        <w:rPr>
          <w:rFonts w:ascii="Times New Roman" w:eastAsia="SimSun" w:hAnsi="Times New Roman" w:cs="Times New Roman"/>
          <w:b/>
          <w:bCs/>
          <w:noProof/>
          <w:sz w:val="24"/>
          <w:szCs w:val="20"/>
        </w:rPr>
        <w:t>2022</w:t>
      </w:r>
    </w:p>
    <w:p w14:paraId="5F862F0D" w14:textId="77777777" w:rsidR="00960B44" w:rsidRPr="007022BC" w:rsidRDefault="00960B44" w:rsidP="00960B4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color w:val="000000"/>
          <w:kern w:val="2"/>
          <w:sz w:val="24"/>
          <w:szCs w:val="24"/>
          <w:lang w:eastAsia="zh-CN"/>
        </w:rPr>
      </w:pPr>
    </w:p>
    <w:p w14:paraId="39C7F13F" w14:textId="5FF33756" w:rsidR="00960B44" w:rsidRPr="007022BC" w:rsidRDefault="00960B44" w:rsidP="00960B44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0"/>
          <w:lang w:val="en-GB" w:eastAsia="zh-CN"/>
        </w:rPr>
      </w:pPr>
      <w:r w:rsidRPr="007022BC">
        <w:rPr>
          <w:rFonts w:ascii="Times New Roman" w:eastAsia="MS Mincho" w:hAnsi="Times New Roman" w:cs="Times New Roman"/>
          <w:b/>
          <w:bCs/>
          <w:sz w:val="24"/>
          <w:szCs w:val="20"/>
          <w:lang w:val="en-GB"/>
        </w:rPr>
        <w:t>Agenda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 item: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="009F6F3F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8.</w:t>
      </w:r>
      <w:r w:rsidR="007549E8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4</w:t>
      </w:r>
      <w:r w:rsidR="00D41CA6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.</w:t>
      </w:r>
      <w:r w:rsidR="009F6F3F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2</w:t>
      </w:r>
      <w:r w:rsidR="00AE1FF9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.</w:t>
      </w:r>
      <w:r w:rsidR="00B12BF3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1</w:t>
      </w:r>
      <w:r w:rsidR="00934F0E" w:rsidRPr="00934F0E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</w:p>
    <w:p w14:paraId="467ECA77" w14:textId="3D671C7B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ind w:left="1985" w:hanging="1985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Source: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bookmarkStart w:id="0" w:name="OLE_LINK13"/>
      <w:bookmarkStart w:id="1" w:name="OLE_LINK14"/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Lenovo</w:t>
      </w:r>
      <w:bookmarkEnd w:id="0"/>
      <w:bookmarkEnd w:id="1"/>
    </w:p>
    <w:p w14:paraId="092A0323" w14:textId="7B7C7199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ind w:left="2103" w:hangingChars="873" w:hanging="2103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Title: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="00466103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Framework fulfilling WID Objectives</w:t>
      </w:r>
    </w:p>
    <w:p w14:paraId="2BC70944" w14:textId="77777777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Document for: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  <w:t>Discussion and Decision</w:t>
      </w:r>
    </w:p>
    <w:p w14:paraId="0DBB4E59" w14:textId="77777777" w:rsidR="00960B44" w:rsidRPr="007022BC" w:rsidRDefault="00960B44" w:rsidP="00960B44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7022BC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t>Introduction</w:t>
      </w:r>
    </w:p>
    <w:p w14:paraId="0EC771E9" w14:textId="7E992E2B" w:rsidR="00DA6BD7" w:rsidRPr="00484DDA" w:rsidRDefault="001C2F13" w:rsidP="0071021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Garamond" w:eastAsia="MS Mincho" w:hAnsi="Garamond" w:cs="Times New Roman"/>
          <w:bCs/>
          <w:sz w:val="20"/>
          <w:szCs w:val="20"/>
          <w:lang w:val="en-GB"/>
        </w:rPr>
      </w:pPr>
      <w:bookmarkStart w:id="2" w:name="Proposal_Beacon"/>
      <w:r w:rsidRPr="00484DDA">
        <w:rPr>
          <w:rFonts w:ascii="Garamond" w:eastAsia="MS Mincho" w:hAnsi="Garamond" w:cs="Times New Roman"/>
          <w:bCs/>
          <w:sz w:val="20"/>
          <w:szCs w:val="20"/>
          <w:lang w:val="en-GB"/>
        </w:rPr>
        <w:t>From the WID in [RP:222332]</w:t>
      </w:r>
      <w:r w:rsidR="00E96543" w:rsidRPr="00484DDA">
        <w:rPr>
          <w:rFonts w:ascii="Garamond" w:eastAsia="MS Mincho" w:hAnsi="Garamond" w:cs="Times New Roman"/>
          <w:bCs/>
          <w:sz w:val="20"/>
          <w:szCs w:val="20"/>
          <w:lang w:val="en-GB"/>
        </w:rPr>
        <w:t xml:space="preserve"> there are </w:t>
      </w:r>
      <w:r w:rsidR="001C791C" w:rsidRPr="00484DDA">
        <w:rPr>
          <w:rFonts w:ascii="Garamond" w:eastAsia="MS Mincho" w:hAnsi="Garamond" w:cs="Times New Roman"/>
          <w:bCs/>
          <w:sz w:val="20"/>
          <w:szCs w:val="20"/>
          <w:lang w:val="en-GB"/>
        </w:rPr>
        <w:t xml:space="preserve">mainly three </w:t>
      </w:r>
      <w:r w:rsidR="00E96543" w:rsidRPr="00484DDA">
        <w:rPr>
          <w:rFonts w:ascii="Garamond" w:eastAsia="MS Mincho" w:hAnsi="Garamond" w:cs="Times New Roman"/>
          <w:bCs/>
          <w:sz w:val="20"/>
          <w:szCs w:val="20"/>
          <w:lang w:val="en-GB"/>
        </w:rPr>
        <w:t xml:space="preserve">objectives </w:t>
      </w:r>
      <w:r w:rsidR="001C791C" w:rsidRPr="00484DDA">
        <w:rPr>
          <w:rFonts w:ascii="Garamond" w:eastAsia="MS Mincho" w:hAnsi="Garamond" w:cs="Times New Roman"/>
          <w:bCs/>
          <w:sz w:val="20"/>
          <w:szCs w:val="20"/>
          <w:lang w:val="en-GB"/>
        </w:rPr>
        <w:t>and RAN2 should first establish a common understanding of these and see if these are three mutually exclusive requirements or some common framework can be used to address these. This document examines this point.</w:t>
      </w:r>
    </w:p>
    <w:p w14:paraId="51E39D9E" w14:textId="4C7649AB" w:rsidR="00960B44" w:rsidRPr="007022BC" w:rsidRDefault="00960B44" w:rsidP="00960B44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7022BC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t>Discussion</w:t>
      </w:r>
    </w:p>
    <w:bookmarkEnd w:id="2"/>
    <w:p w14:paraId="23EACE5B" w14:textId="77777777" w:rsidR="00F6771A" w:rsidRDefault="00F6771A" w:rsidP="00671B7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S Mincho" w:hAnsi="Times New Roman" w:cs="Times New Roman"/>
          <w:sz w:val="20"/>
          <w:szCs w:val="20"/>
        </w:rPr>
      </w:pPr>
    </w:p>
    <w:p w14:paraId="234A93B4" w14:textId="68F374F3" w:rsidR="007141D3" w:rsidRPr="00607DE8" w:rsidRDefault="00D47BDD" w:rsidP="00960A79">
      <w:pPr>
        <w:pStyle w:val="Heading2"/>
        <w:rPr>
          <w:b/>
          <w:bCs/>
        </w:rPr>
      </w:pPr>
      <w:r w:rsidRPr="00607DE8">
        <w:rPr>
          <w:b/>
          <w:bCs/>
        </w:rPr>
        <w:t>The first Objective</w:t>
      </w:r>
    </w:p>
    <w:p w14:paraId="5EDA6A96" w14:textId="77777777" w:rsidR="00960A79" w:rsidRPr="00960A79" w:rsidRDefault="00960A79" w:rsidP="00960A7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141D3" w14:paraId="60E40E8C" w14:textId="77777777" w:rsidTr="007141D3">
        <w:tc>
          <w:tcPr>
            <w:tcW w:w="9350" w:type="dxa"/>
          </w:tcPr>
          <w:p w14:paraId="280F0D64" w14:textId="77777777" w:rsidR="007141D3" w:rsidRPr="007141D3" w:rsidRDefault="007141D3" w:rsidP="007141D3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360"/>
              <w:jc w:val="both"/>
              <w:textAlignment w:val="baseline"/>
              <w:rPr>
                <w:bCs/>
                <w:sz w:val="18"/>
                <w:szCs w:val="18"/>
              </w:rPr>
            </w:pPr>
            <w:r w:rsidRPr="007141D3">
              <w:rPr>
                <w:bCs/>
                <w:sz w:val="18"/>
                <w:szCs w:val="18"/>
              </w:rPr>
              <w:t xml:space="preserve">To specify mechanism and procedures of </w:t>
            </w:r>
            <w:r w:rsidRPr="007141D3">
              <w:rPr>
                <w:rFonts w:hint="eastAsia"/>
                <w:bCs/>
                <w:color w:val="0070C0"/>
                <w:sz w:val="24"/>
                <w:szCs w:val="24"/>
              </w:rPr>
              <w:t>L</w:t>
            </w:r>
            <w:r w:rsidRPr="007141D3">
              <w:rPr>
                <w:bCs/>
                <w:color w:val="0070C0"/>
                <w:sz w:val="24"/>
                <w:szCs w:val="24"/>
              </w:rPr>
              <w:t xml:space="preserve">1/L2 based inter-cell mobility </w:t>
            </w:r>
            <w:r w:rsidRPr="007141D3">
              <w:rPr>
                <w:bCs/>
                <w:sz w:val="18"/>
                <w:szCs w:val="18"/>
              </w:rPr>
              <w:t>for mobility latency reduction:</w:t>
            </w:r>
          </w:p>
          <w:p w14:paraId="64818AD2" w14:textId="77777777" w:rsidR="007141D3" w:rsidRPr="007141D3" w:rsidRDefault="007141D3" w:rsidP="007141D3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="720"/>
              <w:jc w:val="both"/>
              <w:textAlignment w:val="baseline"/>
              <w:rPr>
                <w:bCs/>
                <w:sz w:val="18"/>
                <w:szCs w:val="18"/>
              </w:rPr>
            </w:pPr>
            <w:r w:rsidRPr="007141D3">
              <w:rPr>
                <w:bCs/>
                <w:sz w:val="18"/>
                <w:szCs w:val="18"/>
              </w:rPr>
              <w:t xml:space="preserve">Configuration and maintenance for </w:t>
            </w:r>
            <w:r w:rsidRPr="007141D3">
              <w:rPr>
                <w:bCs/>
                <w:color w:val="0070C0"/>
                <w:sz w:val="20"/>
                <w:szCs w:val="20"/>
              </w:rPr>
              <w:t xml:space="preserve">multiple candidate cells </w:t>
            </w:r>
            <w:r w:rsidRPr="007141D3">
              <w:rPr>
                <w:bCs/>
                <w:sz w:val="18"/>
                <w:szCs w:val="18"/>
              </w:rPr>
              <w:t>to allow fast application of configurations for candidate cells [RAN2, RAN3]</w:t>
            </w:r>
          </w:p>
          <w:p w14:paraId="58B77DCB" w14:textId="77777777" w:rsidR="007141D3" w:rsidRPr="007141D3" w:rsidRDefault="007141D3" w:rsidP="007141D3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="720"/>
              <w:jc w:val="both"/>
              <w:textAlignment w:val="baseline"/>
              <w:rPr>
                <w:bCs/>
                <w:color w:val="0070C0"/>
                <w:sz w:val="18"/>
                <w:szCs w:val="18"/>
              </w:rPr>
            </w:pPr>
            <w:r w:rsidRPr="007141D3">
              <w:rPr>
                <w:bCs/>
                <w:color w:val="0070C0"/>
                <w:sz w:val="20"/>
                <w:szCs w:val="20"/>
              </w:rPr>
              <w:t xml:space="preserve">Dynamic switch mechanism among candidate </w:t>
            </w:r>
            <w:r w:rsidRPr="007141D3">
              <w:rPr>
                <w:bCs/>
                <w:color w:val="0070C0"/>
                <w:sz w:val="24"/>
                <w:szCs w:val="24"/>
              </w:rPr>
              <w:t xml:space="preserve">serving cells </w:t>
            </w:r>
            <w:r w:rsidRPr="007141D3">
              <w:rPr>
                <w:bCs/>
                <w:color w:val="0070C0"/>
                <w:sz w:val="18"/>
                <w:szCs w:val="18"/>
              </w:rPr>
              <w:t xml:space="preserve">(including </w:t>
            </w:r>
            <w:proofErr w:type="spellStart"/>
            <w:r w:rsidRPr="007141D3">
              <w:rPr>
                <w:bCs/>
                <w:color w:val="0070C0"/>
                <w:sz w:val="18"/>
                <w:szCs w:val="18"/>
              </w:rPr>
              <w:t>SpCell</w:t>
            </w:r>
            <w:proofErr w:type="spellEnd"/>
            <w:r w:rsidRPr="007141D3">
              <w:rPr>
                <w:bCs/>
                <w:color w:val="0070C0"/>
                <w:sz w:val="18"/>
                <w:szCs w:val="18"/>
              </w:rPr>
              <w:t xml:space="preserve"> and </w:t>
            </w:r>
            <w:proofErr w:type="spellStart"/>
            <w:r w:rsidRPr="007141D3">
              <w:rPr>
                <w:bCs/>
                <w:color w:val="0070C0"/>
                <w:sz w:val="18"/>
                <w:szCs w:val="18"/>
              </w:rPr>
              <w:t>SCell</w:t>
            </w:r>
            <w:proofErr w:type="spellEnd"/>
            <w:r w:rsidRPr="007141D3">
              <w:rPr>
                <w:bCs/>
                <w:color w:val="0070C0"/>
                <w:sz w:val="18"/>
                <w:szCs w:val="18"/>
              </w:rPr>
              <w:t>) for the potential applicable scenarios based on L1</w:t>
            </w:r>
            <w:r w:rsidRPr="007141D3">
              <w:rPr>
                <w:rFonts w:hint="eastAsia"/>
                <w:bCs/>
                <w:color w:val="0070C0"/>
                <w:sz w:val="18"/>
                <w:szCs w:val="18"/>
              </w:rPr>
              <w:t>/</w:t>
            </w:r>
            <w:r w:rsidRPr="007141D3">
              <w:rPr>
                <w:bCs/>
                <w:color w:val="0070C0"/>
                <w:sz w:val="18"/>
                <w:szCs w:val="18"/>
              </w:rPr>
              <w:t>L2 signalling [RAN2, RAN1]</w:t>
            </w:r>
          </w:p>
          <w:p w14:paraId="1261B6FB" w14:textId="77777777" w:rsidR="007141D3" w:rsidRPr="007141D3" w:rsidRDefault="007141D3" w:rsidP="007141D3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="720"/>
              <w:jc w:val="both"/>
              <w:textAlignment w:val="baseline"/>
              <w:rPr>
                <w:bCs/>
                <w:sz w:val="18"/>
                <w:szCs w:val="18"/>
              </w:rPr>
            </w:pPr>
            <w:r w:rsidRPr="007141D3">
              <w:rPr>
                <w:bCs/>
                <w:sz w:val="18"/>
                <w:szCs w:val="18"/>
              </w:rPr>
              <w:t xml:space="preserve">L1 enhancements for inter-cell beam management, including </w:t>
            </w:r>
            <w:r w:rsidRPr="007141D3">
              <w:rPr>
                <w:rFonts w:hint="eastAsia"/>
                <w:bCs/>
                <w:sz w:val="18"/>
                <w:szCs w:val="18"/>
              </w:rPr>
              <w:t>L</w:t>
            </w:r>
            <w:r w:rsidRPr="007141D3">
              <w:rPr>
                <w:bCs/>
                <w:sz w:val="18"/>
                <w:szCs w:val="18"/>
              </w:rPr>
              <w:t>1 measurement and reporting, and beam indication [RAN1, RAN2]</w:t>
            </w:r>
          </w:p>
          <w:p w14:paraId="49B573AE" w14:textId="77777777" w:rsidR="007141D3" w:rsidRPr="007141D3" w:rsidRDefault="007141D3" w:rsidP="007141D3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ind w:left="1440"/>
              <w:jc w:val="both"/>
              <w:textAlignment w:val="baseline"/>
              <w:rPr>
                <w:bCs/>
                <w:sz w:val="18"/>
                <w:szCs w:val="18"/>
              </w:rPr>
            </w:pPr>
            <w:r w:rsidRPr="007141D3">
              <w:rPr>
                <w:bCs/>
                <w:i/>
                <w:sz w:val="18"/>
                <w:szCs w:val="18"/>
              </w:rPr>
              <w:t>Note 1: Early RAN2 involvement is necessary, including the possibility of further clarifying the interaction between this bullet with the previous bullet</w:t>
            </w:r>
          </w:p>
          <w:p w14:paraId="33410831" w14:textId="6D92AA1D" w:rsidR="007141D3" w:rsidRPr="007141D3" w:rsidRDefault="007141D3" w:rsidP="007141D3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="720"/>
              <w:jc w:val="both"/>
              <w:textAlignment w:val="baseline"/>
              <w:rPr>
                <w:bCs/>
              </w:rPr>
            </w:pPr>
            <w:r w:rsidRPr="007141D3">
              <w:rPr>
                <w:bCs/>
                <w:sz w:val="18"/>
                <w:szCs w:val="18"/>
              </w:rPr>
              <w:t>Timing Advance management [RAN1, RAN2]</w:t>
            </w:r>
          </w:p>
        </w:tc>
      </w:tr>
    </w:tbl>
    <w:p w14:paraId="50B016B1" w14:textId="78CAE941" w:rsidR="00D47BDD" w:rsidRDefault="00D47BDD" w:rsidP="00671B7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S Mincho" w:hAnsi="Times New Roman" w:cs="Times New Roman"/>
          <w:sz w:val="20"/>
          <w:szCs w:val="20"/>
        </w:rPr>
      </w:pPr>
    </w:p>
    <w:p w14:paraId="1B6357F4" w14:textId="2B0E67AE" w:rsidR="00486034" w:rsidRPr="006F57F6" w:rsidRDefault="00EE0164" w:rsidP="00671B7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Garamond" w:eastAsia="MS Mincho" w:hAnsi="Garamond" w:cs="Times New Roman"/>
          <w:sz w:val="20"/>
          <w:szCs w:val="20"/>
        </w:rPr>
      </w:pPr>
      <w:r w:rsidRPr="006F57F6">
        <w:rPr>
          <w:rFonts w:ascii="Garamond" w:eastAsia="MS Mincho" w:hAnsi="Garamond" w:cs="Times New Roman"/>
          <w:sz w:val="20"/>
          <w:szCs w:val="20"/>
        </w:rPr>
        <w:t>Network provides a measurement configuration to the UE and based on some measurement reports from the UE, t</w:t>
      </w:r>
      <w:r w:rsidR="00486034" w:rsidRPr="006F57F6">
        <w:rPr>
          <w:rFonts w:ascii="Garamond" w:eastAsia="MS Mincho" w:hAnsi="Garamond" w:cs="Times New Roman"/>
          <w:sz w:val="20"/>
          <w:szCs w:val="20"/>
        </w:rPr>
        <w:t xml:space="preserve">he objective 1 can be met by configuring using RRC a set of candidate </w:t>
      </w:r>
      <w:r w:rsidR="00842F4C">
        <w:rPr>
          <w:rFonts w:ascii="Garamond" w:eastAsia="MS Mincho" w:hAnsi="Garamond" w:cs="Times New Roman"/>
          <w:sz w:val="20"/>
          <w:szCs w:val="20"/>
        </w:rPr>
        <w:t>cells</w:t>
      </w:r>
      <w:r w:rsidR="00842F4C" w:rsidRPr="006F57F6">
        <w:rPr>
          <w:rFonts w:ascii="Garamond" w:eastAsia="MS Mincho" w:hAnsi="Garamond" w:cs="Times New Roman"/>
          <w:sz w:val="20"/>
          <w:szCs w:val="20"/>
        </w:rPr>
        <w:t xml:space="preserve"> </w:t>
      </w:r>
      <w:r w:rsidR="00486034" w:rsidRPr="006F57F6">
        <w:rPr>
          <w:rFonts w:ascii="Garamond" w:eastAsia="MS Mincho" w:hAnsi="Garamond" w:cs="Times New Roman"/>
          <w:sz w:val="20"/>
          <w:szCs w:val="20"/>
        </w:rPr>
        <w:t>to the UE.</w:t>
      </w:r>
      <w:r w:rsidR="00ED13B1" w:rsidRPr="006F57F6">
        <w:rPr>
          <w:rFonts w:ascii="Garamond" w:eastAsia="MS Mincho" w:hAnsi="Garamond" w:cs="Times New Roman"/>
          <w:sz w:val="20"/>
          <w:szCs w:val="20"/>
        </w:rPr>
        <w:t xml:space="preserve"> Upon UE reporting measurement, network may trigger mobility using </w:t>
      </w:r>
      <w:r w:rsidR="00973E92" w:rsidRPr="006F57F6">
        <w:rPr>
          <w:rFonts w:ascii="Garamond" w:eastAsia="MS Mincho" w:hAnsi="Garamond" w:cs="Times New Roman"/>
          <w:sz w:val="20"/>
          <w:szCs w:val="20"/>
        </w:rPr>
        <w:t>lower layer mobility command (LLMC) to one of the candidate cell. The LLMC contains only a cell index corresponding to the candidate cell. Lower layers in the UE indicate the cell index to RRC upon which RRC starts T304 and triggers handover execution as in legacy</w:t>
      </w:r>
      <w:r w:rsidR="00AD04BB" w:rsidRPr="006F57F6">
        <w:rPr>
          <w:rFonts w:ascii="Garamond" w:eastAsia="MS Mincho" w:hAnsi="Garamond" w:cs="Times New Roman"/>
          <w:sz w:val="20"/>
          <w:szCs w:val="20"/>
        </w:rPr>
        <w:t xml:space="preserve"> (Ch. 5.3.5.5.2 Reconfiguration with sync)</w:t>
      </w:r>
      <w:r w:rsidR="00973E92" w:rsidRPr="006F57F6">
        <w:rPr>
          <w:rFonts w:ascii="Garamond" w:eastAsia="MS Mincho" w:hAnsi="Garamond" w:cs="Times New Roman"/>
          <w:sz w:val="20"/>
          <w:szCs w:val="20"/>
        </w:rPr>
        <w:t>. The required configuration, including security input e.g., counter(s) is already available from the RRC reconfiguration.</w:t>
      </w:r>
    </w:p>
    <w:p w14:paraId="2686CD17" w14:textId="77777777" w:rsidR="00521BD3" w:rsidRDefault="00521BD3" w:rsidP="00521BD3">
      <w:pPr>
        <w:keepNext/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</w:pPr>
      <w:r>
        <w:object w:dxaOrig="10097" w:dyaOrig="8162" w14:anchorId="3AF74E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259pt" o:ole="">
            <v:imagedata r:id="rId8" o:title=""/>
          </v:shape>
          <o:OLEObject Type="Embed" ProgID="Visio.Drawing.15" ShapeID="_x0000_i1025" DrawAspect="Content" ObjectID="_1725976743" r:id="rId9"/>
        </w:object>
      </w:r>
    </w:p>
    <w:p w14:paraId="5295A7D9" w14:textId="19CE80BD" w:rsidR="00C60EB3" w:rsidRDefault="00521BD3" w:rsidP="00521BD3">
      <w:pPr>
        <w:pStyle w:val="Caption"/>
        <w:jc w:val="center"/>
        <w:rPr>
          <w:rFonts w:eastAsia="MS Mincho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04EC8">
        <w:rPr>
          <w:noProof/>
        </w:rPr>
        <w:t>1</w:t>
      </w:r>
      <w:r>
        <w:fldChar w:fldCharType="end"/>
      </w:r>
      <w:r>
        <w:t>: Fulfilling Objective 1a</w:t>
      </w:r>
    </w:p>
    <w:p w14:paraId="721217AC" w14:textId="69AAA0A5" w:rsidR="00BE3D82" w:rsidRPr="00DF69EB" w:rsidRDefault="002E5873" w:rsidP="00B22907">
      <w:pPr>
        <w:rPr>
          <w:rFonts w:ascii="Garamond" w:hAnsi="Garamond"/>
          <w:b/>
          <w:bCs/>
        </w:rPr>
      </w:pPr>
      <w:r w:rsidRPr="00DF69EB">
        <w:rPr>
          <w:rFonts w:ascii="Garamond" w:hAnsi="Garamond"/>
          <w:b/>
          <w:bCs/>
        </w:rPr>
        <w:t xml:space="preserve">Proposal 1: </w:t>
      </w:r>
      <w:r w:rsidR="007A45FC" w:rsidRPr="00DF69EB">
        <w:rPr>
          <w:rFonts w:ascii="Garamond" w:hAnsi="Garamond"/>
          <w:b/>
          <w:bCs/>
        </w:rPr>
        <w:t xml:space="preserve">The following 3-steps procedure is used to meet the lower layer based inter-cell mobility </w:t>
      </w:r>
      <w:r w:rsidR="002E3235" w:rsidRPr="00DF69EB">
        <w:rPr>
          <w:rFonts w:ascii="Garamond" w:hAnsi="Garamond"/>
          <w:b/>
          <w:bCs/>
        </w:rPr>
        <w:t>requirement:</w:t>
      </w:r>
    </w:p>
    <w:p w14:paraId="51E1C610" w14:textId="57972BCB" w:rsidR="002E3235" w:rsidRPr="00DF69EB" w:rsidRDefault="002E3235" w:rsidP="002E3235">
      <w:pPr>
        <w:pStyle w:val="ListParagraph"/>
        <w:numPr>
          <w:ilvl w:val="0"/>
          <w:numId w:val="17"/>
        </w:numPr>
        <w:rPr>
          <w:rFonts w:ascii="Garamond" w:hAnsi="Garamond"/>
          <w:b/>
          <w:bCs/>
        </w:rPr>
      </w:pPr>
      <w:r w:rsidRPr="00DF69EB">
        <w:rPr>
          <w:rFonts w:ascii="Garamond" w:hAnsi="Garamond"/>
          <w:b/>
          <w:bCs/>
        </w:rPr>
        <w:t>RRC Configuration with more than one candidate configuration</w:t>
      </w:r>
    </w:p>
    <w:p w14:paraId="5D77EBA0" w14:textId="1C62F1D6" w:rsidR="002E3235" w:rsidRPr="00DF69EB" w:rsidRDefault="002E3235" w:rsidP="002E3235">
      <w:pPr>
        <w:pStyle w:val="ListParagraph"/>
        <w:numPr>
          <w:ilvl w:val="0"/>
          <w:numId w:val="17"/>
        </w:numPr>
        <w:rPr>
          <w:rFonts w:ascii="Garamond" w:hAnsi="Garamond"/>
          <w:b/>
          <w:bCs/>
        </w:rPr>
      </w:pPr>
      <w:r w:rsidRPr="00DF69EB">
        <w:rPr>
          <w:rFonts w:ascii="Garamond" w:hAnsi="Garamond"/>
          <w:b/>
          <w:bCs/>
        </w:rPr>
        <w:t>LL based measurement reporting &amp; Mobility Command reception</w:t>
      </w:r>
    </w:p>
    <w:p w14:paraId="1AE4530B" w14:textId="3E702CEA" w:rsidR="002E3235" w:rsidRPr="00DF69EB" w:rsidRDefault="002E3235" w:rsidP="002E3235">
      <w:pPr>
        <w:pStyle w:val="ListParagraph"/>
        <w:numPr>
          <w:ilvl w:val="0"/>
          <w:numId w:val="17"/>
        </w:numPr>
        <w:rPr>
          <w:rFonts w:ascii="Garamond" w:hAnsi="Garamond"/>
          <w:b/>
          <w:bCs/>
        </w:rPr>
      </w:pPr>
      <w:r w:rsidRPr="00DF69EB">
        <w:rPr>
          <w:rFonts w:ascii="Garamond" w:hAnsi="Garamond"/>
          <w:b/>
          <w:bCs/>
        </w:rPr>
        <w:t>Legacy based handover execution</w:t>
      </w:r>
    </w:p>
    <w:p w14:paraId="1520BFDA" w14:textId="18C1CCCB" w:rsidR="00842F4C" w:rsidRPr="00E03EA1" w:rsidRDefault="00842F4C" w:rsidP="002E3235">
      <w:pPr>
        <w:rPr>
          <w:rFonts w:ascii="Garamond" w:eastAsia="MS Mincho" w:hAnsi="Garamond" w:cs="Times New Roman"/>
          <w:sz w:val="20"/>
          <w:szCs w:val="20"/>
        </w:rPr>
      </w:pPr>
      <w:r w:rsidRPr="00E03EA1">
        <w:rPr>
          <w:rFonts w:ascii="Garamond" w:eastAsia="MS Mincho" w:hAnsi="Garamond" w:cs="Times New Roman"/>
          <w:sz w:val="20"/>
          <w:szCs w:val="20"/>
        </w:rPr>
        <w:t xml:space="preserve">RAN2 has an assumption that </w:t>
      </w:r>
      <w:r w:rsidR="0064419B">
        <w:rPr>
          <w:rFonts w:ascii="Garamond" w:eastAsia="MS Mincho" w:hAnsi="Garamond" w:cs="Times New Roman"/>
          <w:sz w:val="20"/>
          <w:szCs w:val="20"/>
        </w:rPr>
        <w:t>t</w:t>
      </w:r>
      <w:r w:rsidRPr="00E03EA1">
        <w:rPr>
          <w:rFonts w:ascii="Garamond" w:eastAsia="MS Mincho" w:hAnsi="Garamond" w:cs="Times New Roman"/>
          <w:sz w:val="20"/>
          <w:szCs w:val="20"/>
        </w:rPr>
        <w:t xml:space="preserve">o reduce HO interruption time based on UE reconfiguration, </w:t>
      </w:r>
      <w:proofErr w:type="gramStart"/>
      <w:r w:rsidRPr="00E03EA1">
        <w:rPr>
          <w:rFonts w:ascii="Garamond" w:eastAsia="MS Mincho" w:hAnsi="Garamond" w:cs="Times New Roman"/>
          <w:sz w:val="20"/>
          <w:szCs w:val="20"/>
        </w:rPr>
        <w:t>downlink</w:t>
      </w:r>
      <w:proofErr w:type="gramEnd"/>
      <w:r w:rsidRPr="00E03EA1">
        <w:rPr>
          <w:rFonts w:ascii="Garamond" w:eastAsia="MS Mincho" w:hAnsi="Garamond" w:cs="Times New Roman"/>
          <w:sz w:val="20"/>
          <w:szCs w:val="20"/>
        </w:rPr>
        <w:t xml:space="preserve"> and uplink synchronization before receiving lower layer command can be considered.</w:t>
      </w:r>
      <w:r w:rsidR="0064419B">
        <w:rPr>
          <w:rFonts w:ascii="Garamond" w:eastAsia="MS Mincho" w:hAnsi="Garamond" w:cs="Times New Roman"/>
          <w:sz w:val="20"/>
          <w:szCs w:val="20"/>
        </w:rPr>
        <w:t xml:space="preserve"> The objective 1 aims to achieve the fast application. Therefore, to ensure the downlink and uplink sync can meet the requirement</w:t>
      </w:r>
      <w:r w:rsidR="000A1557">
        <w:rPr>
          <w:rFonts w:ascii="Garamond" w:eastAsia="MS Mincho" w:hAnsi="Garamond" w:cs="Times New Roman"/>
          <w:sz w:val="20"/>
          <w:szCs w:val="20"/>
        </w:rPr>
        <w:t xml:space="preserve"> we</w:t>
      </w:r>
      <w:r w:rsidR="0064419B">
        <w:rPr>
          <w:rFonts w:ascii="Garamond" w:eastAsia="MS Mincho" w:hAnsi="Garamond" w:cs="Times New Roman"/>
          <w:sz w:val="20"/>
          <w:szCs w:val="20"/>
        </w:rPr>
        <w:t xml:space="preserve"> suggest </w:t>
      </w:r>
      <w:r w:rsidR="0012200A">
        <w:rPr>
          <w:rFonts w:ascii="Garamond" w:eastAsia="MS Mincho" w:hAnsi="Garamond" w:cs="Times New Roman"/>
          <w:sz w:val="20"/>
          <w:szCs w:val="20"/>
        </w:rPr>
        <w:t>confirming</w:t>
      </w:r>
      <w:r w:rsidR="0064419B">
        <w:rPr>
          <w:rFonts w:ascii="Garamond" w:eastAsia="MS Mincho" w:hAnsi="Garamond" w:cs="Times New Roman"/>
          <w:sz w:val="20"/>
          <w:szCs w:val="20"/>
        </w:rPr>
        <w:t xml:space="preserve"> the assumption. </w:t>
      </w:r>
    </w:p>
    <w:p w14:paraId="65C69905" w14:textId="14876945" w:rsidR="00F85304" w:rsidRPr="00004CAF" w:rsidRDefault="0064419B" w:rsidP="00004CAF">
      <w:pPr>
        <w:pStyle w:val="Agreement"/>
        <w:numPr>
          <w:ilvl w:val="0"/>
          <w:numId w:val="0"/>
        </w:numPr>
        <w:rPr>
          <w:rFonts w:ascii="Garamond" w:hAnsi="Garamond"/>
          <w:sz w:val="22"/>
          <w:szCs w:val="22"/>
        </w:rPr>
      </w:pPr>
      <w:r w:rsidRPr="00E03EA1">
        <w:rPr>
          <w:rFonts w:ascii="Garamond" w:hAnsi="Garamond"/>
          <w:sz w:val="22"/>
          <w:szCs w:val="22"/>
        </w:rPr>
        <w:t xml:space="preserve">Proposal </w:t>
      </w:r>
      <w:r w:rsidR="003D6028">
        <w:rPr>
          <w:rFonts w:ascii="Garamond" w:hAnsi="Garamond"/>
          <w:sz w:val="22"/>
          <w:szCs w:val="22"/>
        </w:rPr>
        <w:t>2</w:t>
      </w:r>
      <w:r w:rsidRPr="00E03EA1">
        <w:rPr>
          <w:rFonts w:ascii="Garamond" w:hAnsi="Garamond"/>
          <w:sz w:val="22"/>
          <w:szCs w:val="22"/>
        </w:rPr>
        <w:t xml:space="preserve">: </w:t>
      </w:r>
      <w:r w:rsidR="002E3235" w:rsidRPr="00E03EA1">
        <w:rPr>
          <w:rFonts w:ascii="Garamond" w:hAnsi="Garamond"/>
          <w:sz w:val="22"/>
          <w:szCs w:val="22"/>
        </w:rPr>
        <w:t>Optimization for obtaining UL Synchronization</w:t>
      </w:r>
      <w:r w:rsidRPr="00E03EA1">
        <w:rPr>
          <w:rFonts w:ascii="Garamond" w:hAnsi="Garamond"/>
          <w:sz w:val="22"/>
          <w:szCs w:val="22"/>
        </w:rPr>
        <w:t xml:space="preserve"> before receiving lower layer command</w:t>
      </w:r>
      <w:r w:rsidR="002E3235" w:rsidRPr="00E03EA1">
        <w:rPr>
          <w:rFonts w:ascii="Garamond" w:hAnsi="Garamond"/>
          <w:sz w:val="22"/>
          <w:szCs w:val="22"/>
        </w:rPr>
        <w:t xml:space="preserve"> should be </w:t>
      </w:r>
      <w:r w:rsidR="0012200A">
        <w:rPr>
          <w:rFonts w:ascii="Garamond" w:hAnsi="Garamond"/>
          <w:sz w:val="22"/>
          <w:szCs w:val="22"/>
        </w:rPr>
        <w:t>analysed</w:t>
      </w:r>
      <w:r w:rsidR="0012200A" w:rsidRPr="00E03EA1">
        <w:rPr>
          <w:rFonts w:ascii="Garamond" w:hAnsi="Garamond"/>
          <w:sz w:val="22"/>
          <w:szCs w:val="22"/>
        </w:rPr>
        <w:t xml:space="preserve"> </w:t>
      </w:r>
      <w:r w:rsidR="002E3235" w:rsidRPr="00E03EA1">
        <w:rPr>
          <w:rFonts w:ascii="Garamond" w:hAnsi="Garamond"/>
          <w:sz w:val="22"/>
          <w:szCs w:val="22"/>
        </w:rPr>
        <w:t>for reducing the data interruption latency.</w:t>
      </w:r>
    </w:p>
    <w:p w14:paraId="45A55BA1" w14:textId="77777777" w:rsidR="008F799D" w:rsidRDefault="008F799D" w:rsidP="00F2255F">
      <w:pPr>
        <w:pStyle w:val="Heading2"/>
        <w:rPr>
          <w:b/>
          <w:bCs/>
        </w:rPr>
      </w:pPr>
    </w:p>
    <w:p w14:paraId="0C4689D6" w14:textId="6F814869" w:rsidR="0051762B" w:rsidRPr="008D7872" w:rsidRDefault="00DB7AB5" w:rsidP="00F2255F">
      <w:pPr>
        <w:pStyle w:val="Heading2"/>
        <w:rPr>
          <w:b/>
          <w:bCs/>
        </w:rPr>
      </w:pPr>
      <w:r w:rsidRPr="008D7872">
        <w:rPr>
          <w:b/>
          <w:bCs/>
        </w:rPr>
        <w:t>The second objective</w:t>
      </w:r>
    </w:p>
    <w:p w14:paraId="5239FBA0" w14:textId="77777777" w:rsidR="00E310FB" w:rsidRDefault="00E310FB" w:rsidP="00F2255F">
      <w:pPr>
        <w:rPr>
          <w:rFonts w:ascii="Garamond" w:hAnsi="Garamond"/>
        </w:rPr>
      </w:pPr>
    </w:p>
    <w:p w14:paraId="02365E5C" w14:textId="2DAC9E19" w:rsidR="00F2255F" w:rsidRPr="007B6B92" w:rsidRDefault="00ED25DC" w:rsidP="00F2255F">
      <w:pPr>
        <w:rPr>
          <w:rFonts w:ascii="Garamond" w:hAnsi="Garamond"/>
        </w:rPr>
      </w:pPr>
      <w:r w:rsidRPr="007B6B92">
        <w:rPr>
          <w:rFonts w:ascii="Garamond" w:hAnsi="Garamond"/>
        </w:rPr>
        <w:t>In our opinion both these objectives can be fulfilled simultaneously: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2255F" w14:paraId="2CB01B4D" w14:textId="77777777" w:rsidTr="00F2255F">
        <w:tc>
          <w:tcPr>
            <w:tcW w:w="9350" w:type="dxa"/>
          </w:tcPr>
          <w:p w14:paraId="65D8DABD" w14:textId="77777777" w:rsidR="00F2255F" w:rsidRPr="00F2255F" w:rsidRDefault="00F2255F" w:rsidP="00F2255F">
            <w:pPr>
              <w:overflowPunct w:val="0"/>
              <w:autoSpaceDE w:val="0"/>
              <w:autoSpaceDN w:val="0"/>
              <w:adjustRightInd w:val="0"/>
              <w:ind w:left="360"/>
              <w:jc w:val="both"/>
              <w:textAlignment w:val="baseline"/>
              <w:rPr>
                <w:bCs/>
                <w:sz w:val="18"/>
                <w:szCs w:val="18"/>
              </w:rPr>
            </w:pPr>
            <w:r w:rsidRPr="00F2255F">
              <w:rPr>
                <w:bCs/>
                <w:sz w:val="18"/>
                <w:szCs w:val="18"/>
              </w:rPr>
              <w:t xml:space="preserve">2. To specify mechanism and </w:t>
            </w:r>
            <w:r w:rsidRPr="00F2255F">
              <w:rPr>
                <w:bCs/>
                <w:color w:val="FF0000"/>
                <w:sz w:val="24"/>
                <w:szCs w:val="24"/>
              </w:rPr>
              <w:t>procedures of NR-DC with selective activation of the cell groups (at least for SCG)</w:t>
            </w:r>
            <w:r w:rsidRPr="00F2255F">
              <w:rPr>
                <w:bCs/>
                <w:sz w:val="14"/>
                <w:szCs w:val="14"/>
              </w:rPr>
              <w:t xml:space="preserve"> </w:t>
            </w:r>
            <w:r w:rsidRPr="00F2255F">
              <w:rPr>
                <w:bCs/>
                <w:sz w:val="18"/>
                <w:szCs w:val="18"/>
              </w:rPr>
              <w:t>via L3 enhancements:</w:t>
            </w:r>
          </w:p>
          <w:p w14:paraId="4B4C6D2F" w14:textId="77777777" w:rsidR="00F2255F" w:rsidRPr="00F2255F" w:rsidRDefault="00F2255F" w:rsidP="0012200A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780"/>
              <w:jc w:val="both"/>
              <w:textAlignment w:val="baseline"/>
              <w:rPr>
                <w:bCs/>
                <w:sz w:val="18"/>
                <w:szCs w:val="18"/>
              </w:rPr>
            </w:pPr>
            <w:r w:rsidRPr="00F2255F">
              <w:rPr>
                <w:bCs/>
                <w:sz w:val="18"/>
                <w:szCs w:val="18"/>
              </w:rPr>
              <w:t>To allow subsequent cell group change after changing CG without reconfiguration and re-initiation of CPC/CPA [RAN2, RAN3, RAN4]</w:t>
            </w:r>
          </w:p>
          <w:p w14:paraId="14982AD6" w14:textId="0F66587A" w:rsidR="00436ECE" w:rsidRPr="00F2255F" w:rsidRDefault="00F2255F" w:rsidP="0012200A">
            <w:pPr>
              <w:spacing w:line="259" w:lineRule="auto"/>
              <w:ind w:left="360"/>
              <w:jc w:val="both"/>
              <w:rPr>
                <w:bCs/>
                <w:i/>
              </w:rPr>
            </w:pPr>
            <w:r w:rsidRPr="00F2255F">
              <w:rPr>
                <w:bCs/>
                <w:i/>
                <w:sz w:val="18"/>
                <w:szCs w:val="18"/>
              </w:rPr>
              <w:t>Note 4: A harmonized</w:t>
            </w:r>
            <w:r w:rsidRPr="00F2255F">
              <w:rPr>
                <w:rStyle w:val="Emphasis"/>
                <w:sz w:val="18"/>
                <w:szCs w:val="18"/>
              </w:rPr>
              <w:t xml:space="preserve"> RRC modelling approach for objectives 1 and 2 could be considered to minimize the workload in RAN2.</w:t>
            </w:r>
          </w:p>
        </w:tc>
      </w:tr>
    </w:tbl>
    <w:p w14:paraId="348B22C1" w14:textId="77777777" w:rsidR="00F85304" w:rsidRDefault="00F85304" w:rsidP="00F85304"/>
    <w:p w14:paraId="22FA7E31" w14:textId="549290E4" w:rsidR="00DB7AB5" w:rsidRPr="007B6B92" w:rsidRDefault="00F85304" w:rsidP="00F85304">
      <w:pPr>
        <w:rPr>
          <w:rFonts w:ascii="Garamond" w:hAnsi="Garamond" w:cs="Times New Roman"/>
          <w:sz w:val="20"/>
          <w:szCs w:val="20"/>
        </w:rPr>
      </w:pPr>
      <w:r w:rsidRPr="007B6B92">
        <w:rPr>
          <w:rFonts w:ascii="Garamond" w:hAnsi="Garamond" w:cs="Times New Roman"/>
          <w:sz w:val="20"/>
          <w:szCs w:val="20"/>
        </w:rPr>
        <w:lastRenderedPageBreak/>
        <w:t>RAN2 agreed in the meeting#119 to start with SCG</w:t>
      </w:r>
      <w:r w:rsidR="0064419B">
        <w:rPr>
          <w:rFonts w:ascii="Garamond" w:hAnsi="Garamond" w:cs="Times New Roman"/>
          <w:sz w:val="20"/>
          <w:szCs w:val="20"/>
        </w:rPr>
        <w:t xml:space="preserve"> for objective 2</w:t>
      </w:r>
      <w:r w:rsidR="00657CA7" w:rsidRPr="007B6B92">
        <w:rPr>
          <w:rFonts w:ascii="Garamond" w:hAnsi="Garamond" w:cs="Times New Roman"/>
          <w:sz w:val="20"/>
          <w:szCs w:val="20"/>
        </w:rPr>
        <w:t>, so we take a scenario where the MCG remains the same</w:t>
      </w:r>
      <w:r w:rsidR="003644B0" w:rsidRPr="007B6B92">
        <w:rPr>
          <w:rFonts w:ascii="Garamond" w:hAnsi="Garamond" w:cs="Times New Roman"/>
          <w:sz w:val="20"/>
          <w:szCs w:val="20"/>
        </w:rPr>
        <w:t xml:space="preserve"> for a while</w:t>
      </w:r>
      <w:r w:rsidR="00657CA7" w:rsidRPr="007B6B92">
        <w:rPr>
          <w:rFonts w:ascii="Garamond" w:hAnsi="Garamond" w:cs="Times New Roman"/>
          <w:sz w:val="20"/>
          <w:szCs w:val="20"/>
        </w:rPr>
        <w:t xml:space="preserve">, </w:t>
      </w:r>
      <w:r w:rsidR="003644B0" w:rsidRPr="007B6B92">
        <w:rPr>
          <w:rFonts w:ascii="Garamond" w:hAnsi="Garamond" w:cs="Times New Roman"/>
          <w:sz w:val="20"/>
          <w:szCs w:val="20"/>
        </w:rPr>
        <w:t xml:space="preserve">i.e., </w:t>
      </w:r>
      <w:r w:rsidR="00657CA7" w:rsidRPr="007B6B92">
        <w:rPr>
          <w:rFonts w:ascii="Garamond" w:hAnsi="Garamond" w:cs="Times New Roman"/>
          <w:sz w:val="20"/>
          <w:szCs w:val="20"/>
        </w:rPr>
        <w:t>PCell provides coverage, and only the SCG (PSCell) changes inside the MCG coverage</w:t>
      </w:r>
      <w:r w:rsidR="003644B0" w:rsidRPr="007B6B92">
        <w:rPr>
          <w:rFonts w:ascii="Garamond" w:hAnsi="Garamond" w:cs="Times New Roman"/>
          <w:sz w:val="20"/>
          <w:szCs w:val="20"/>
        </w:rPr>
        <w:t xml:space="preserve"> like shown in </w:t>
      </w:r>
      <w:r w:rsidR="003644B0" w:rsidRPr="007B6B92">
        <w:rPr>
          <w:rFonts w:ascii="Garamond" w:hAnsi="Garamond" w:cs="Times New Roman"/>
          <w:sz w:val="18"/>
          <w:szCs w:val="18"/>
        </w:rPr>
        <w:fldChar w:fldCharType="begin"/>
      </w:r>
      <w:r w:rsidR="003644B0" w:rsidRPr="007B6B92">
        <w:rPr>
          <w:rFonts w:ascii="Garamond" w:hAnsi="Garamond" w:cs="Times New Roman"/>
          <w:sz w:val="18"/>
          <w:szCs w:val="18"/>
        </w:rPr>
        <w:instrText xml:space="preserve"> REF _Ref115189035 \h </w:instrText>
      </w:r>
      <w:r w:rsidR="007B3F8E" w:rsidRPr="007B6B92">
        <w:rPr>
          <w:rFonts w:ascii="Garamond" w:hAnsi="Garamond" w:cs="Times New Roman"/>
          <w:sz w:val="18"/>
          <w:szCs w:val="18"/>
        </w:rPr>
        <w:instrText xml:space="preserve"> \* MERGEFORMAT </w:instrText>
      </w:r>
      <w:r w:rsidR="003644B0" w:rsidRPr="007B6B92">
        <w:rPr>
          <w:rFonts w:ascii="Garamond" w:hAnsi="Garamond" w:cs="Times New Roman"/>
          <w:sz w:val="18"/>
          <w:szCs w:val="18"/>
        </w:rPr>
      </w:r>
      <w:r w:rsidR="003644B0" w:rsidRPr="007B6B92">
        <w:rPr>
          <w:rFonts w:ascii="Garamond" w:hAnsi="Garamond" w:cs="Times New Roman"/>
          <w:sz w:val="18"/>
          <w:szCs w:val="18"/>
        </w:rPr>
        <w:fldChar w:fldCharType="separate"/>
      </w:r>
      <w:r w:rsidR="003644B0" w:rsidRPr="007B6B92">
        <w:rPr>
          <w:rFonts w:ascii="Garamond" w:hAnsi="Garamond"/>
          <w:sz w:val="20"/>
          <w:szCs w:val="20"/>
        </w:rPr>
        <w:t xml:space="preserve">Figure </w:t>
      </w:r>
      <w:r w:rsidR="003644B0" w:rsidRPr="007B6B92">
        <w:rPr>
          <w:rFonts w:ascii="Garamond" w:hAnsi="Garamond"/>
          <w:noProof/>
          <w:sz w:val="20"/>
          <w:szCs w:val="20"/>
        </w:rPr>
        <w:t>2</w:t>
      </w:r>
      <w:r w:rsidR="003644B0" w:rsidRPr="007B6B92">
        <w:rPr>
          <w:rFonts w:ascii="Garamond" w:hAnsi="Garamond" w:cs="Times New Roman"/>
          <w:sz w:val="18"/>
          <w:szCs w:val="18"/>
        </w:rPr>
        <w:fldChar w:fldCharType="end"/>
      </w:r>
      <w:r w:rsidR="00E4263F" w:rsidRPr="007B6B92">
        <w:rPr>
          <w:rFonts w:ascii="Garamond" w:hAnsi="Garamond" w:cs="Times New Roman"/>
          <w:sz w:val="18"/>
          <w:szCs w:val="18"/>
        </w:rPr>
        <w:t>:</w:t>
      </w:r>
    </w:p>
    <w:p w14:paraId="7ADCCBC2" w14:textId="4AE47716" w:rsidR="00F04EC8" w:rsidRDefault="00067B60" w:rsidP="00F04EC8">
      <w:pPr>
        <w:keepNext/>
        <w:jc w:val="center"/>
      </w:pPr>
      <w:r>
        <w:object w:dxaOrig="13336" w:dyaOrig="8461" w14:anchorId="4392A6C4">
          <v:shape id="_x0000_i1026" type="#_x0000_t75" style="width:361.6pt;height:229.95pt" o:ole="">
            <v:imagedata r:id="rId10" o:title=""/>
          </v:shape>
          <o:OLEObject Type="Embed" ProgID="Visio.Drawing.15" ShapeID="_x0000_i1026" DrawAspect="Content" ObjectID="_1725976744" r:id="rId11"/>
        </w:object>
      </w:r>
    </w:p>
    <w:p w14:paraId="489F05BB" w14:textId="797A3586" w:rsidR="00657CA7" w:rsidRPr="00C61948" w:rsidRDefault="00F04EC8" w:rsidP="00F04EC8">
      <w:pPr>
        <w:pStyle w:val="Caption"/>
        <w:jc w:val="center"/>
      </w:pPr>
      <w:bookmarkStart w:id="3" w:name="_Ref11518903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3"/>
      <w:r>
        <w:t>: SCG mobility inside an MCG area</w:t>
      </w:r>
    </w:p>
    <w:p w14:paraId="4C44B848" w14:textId="77777777" w:rsidR="00770BE4" w:rsidRPr="00770BE4" w:rsidRDefault="00770BE4" w:rsidP="00C61948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Cs w:val="20"/>
          <w:lang w:val="en-US"/>
        </w:rPr>
      </w:pPr>
      <w:r w:rsidRPr="00770BE4">
        <w:rPr>
          <w:rFonts w:ascii="Times New Roman" w:hAnsi="Times New Roman"/>
          <w:szCs w:val="20"/>
        </w:rPr>
        <w:t>Agreements from #119e</w:t>
      </w:r>
    </w:p>
    <w:p w14:paraId="2C7EF089" w14:textId="6747E5B8" w:rsidR="00E4263F" w:rsidRPr="00770BE4" w:rsidRDefault="00E4263F" w:rsidP="00C61948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Cs w:val="20"/>
          <w:lang w:val="en-US"/>
        </w:rPr>
      </w:pPr>
      <w:r w:rsidRPr="00770BE4">
        <w:rPr>
          <w:rFonts w:ascii="Times New Roman" w:hAnsi="Times New Roman"/>
          <w:szCs w:val="20"/>
        </w:rPr>
        <w:t xml:space="preserve">The selective activation of cell groups should correspond to support of subsequent conditional changes (CPC) after a cell group change (normal or conditional). CPA FFS. </w:t>
      </w:r>
    </w:p>
    <w:p w14:paraId="1CDE8672" w14:textId="77777777" w:rsidR="00E4263F" w:rsidRPr="00FD4407" w:rsidRDefault="00E4263F" w:rsidP="00C61948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Cs w:val="20"/>
          <w:lang w:val="en-US"/>
        </w:rPr>
      </w:pPr>
      <w:r w:rsidRPr="00FD4407">
        <w:rPr>
          <w:rFonts w:ascii="Times New Roman" w:hAnsi="Times New Roman"/>
          <w:szCs w:val="20"/>
          <w:lang w:val="en-US"/>
        </w:rPr>
        <w:t>Initial focus on SCG</w:t>
      </w:r>
    </w:p>
    <w:p w14:paraId="1CB58C93" w14:textId="77777777" w:rsidR="00C61948" w:rsidRDefault="00C61948" w:rsidP="00C61948">
      <w:pPr>
        <w:pStyle w:val="Agreement"/>
        <w:numPr>
          <w:ilvl w:val="0"/>
          <w:numId w:val="0"/>
        </w:numPr>
        <w:rPr>
          <w:rFonts w:ascii="Times New Roman" w:hAnsi="Times New Roman"/>
          <w:szCs w:val="20"/>
        </w:rPr>
      </w:pPr>
    </w:p>
    <w:p w14:paraId="7DE42634" w14:textId="157FF065" w:rsidR="00C53394" w:rsidRPr="0047521D" w:rsidRDefault="00D516CD" w:rsidP="00E03EA1">
      <w:pPr>
        <w:rPr>
          <w:rFonts w:ascii="Garamond" w:hAnsi="Garamond"/>
        </w:rPr>
      </w:pPr>
      <w:r>
        <w:rPr>
          <w:rFonts w:ascii="Garamond" w:hAnsi="Garamond"/>
        </w:rPr>
        <w:t xml:space="preserve">The </w:t>
      </w:r>
      <w:r w:rsidR="00C61948" w:rsidRPr="007D3A15">
        <w:rPr>
          <w:rFonts w:ascii="Garamond" w:hAnsi="Garamond"/>
        </w:rPr>
        <w:t>objective</w:t>
      </w:r>
      <w:r>
        <w:rPr>
          <w:rFonts w:ascii="Garamond" w:hAnsi="Garamond"/>
        </w:rPr>
        <w:t xml:space="preserve"> 2</w:t>
      </w:r>
      <w:r w:rsidR="00C61948" w:rsidRPr="007D3A15">
        <w:rPr>
          <w:rFonts w:ascii="Garamond" w:hAnsi="Garamond"/>
        </w:rPr>
        <w:t xml:space="preserve"> can be met using Rel. 17 </w:t>
      </w:r>
      <w:r w:rsidR="00ED25DC" w:rsidRPr="007D3A15">
        <w:rPr>
          <w:rFonts w:ascii="Garamond" w:hAnsi="Garamond"/>
        </w:rPr>
        <w:t xml:space="preserve">CHO </w:t>
      </w:r>
      <w:r w:rsidR="00C61948" w:rsidRPr="007D3A15">
        <w:rPr>
          <w:rFonts w:ascii="Garamond" w:hAnsi="Garamond"/>
        </w:rPr>
        <w:t>based (MCG+SCG)</w:t>
      </w:r>
      <w:r w:rsidR="00ED25DC" w:rsidRPr="007D3A15">
        <w:rPr>
          <w:rFonts w:ascii="Garamond" w:hAnsi="Garamond"/>
        </w:rPr>
        <w:t xml:space="preserve"> where t</w:t>
      </w:r>
      <w:r w:rsidR="00C61948" w:rsidRPr="007D3A15">
        <w:rPr>
          <w:rFonts w:ascii="Garamond" w:hAnsi="Garamond"/>
        </w:rPr>
        <w:t>he UE does not release the remaining config</w:t>
      </w:r>
      <w:r w:rsidR="0064419B">
        <w:rPr>
          <w:rFonts w:ascii="Garamond" w:hAnsi="Garamond"/>
        </w:rPr>
        <w:t>uration</w:t>
      </w:r>
      <w:r w:rsidR="00C61948" w:rsidRPr="007D3A15">
        <w:rPr>
          <w:rFonts w:ascii="Garamond" w:hAnsi="Garamond"/>
        </w:rPr>
        <w:t xml:space="preserve"> receive</w:t>
      </w:r>
      <w:r w:rsidR="00ED25DC" w:rsidRPr="007D3A15">
        <w:rPr>
          <w:rFonts w:ascii="Garamond" w:hAnsi="Garamond"/>
        </w:rPr>
        <w:t>d</w:t>
      </w:r>
      <w:r w:rsidR="00C61948" w:rsidRPr="007D3A15">
        <w:rPr>
          <w:rFonts w:ascii="Garamond" w:hAnsi="Garamond"/>
        </w:rPr>
        <w:t xml:space="preserve"> from source</w:t>
      </w:r>
      <w:r w:rsidR="00ED25DC" w:rsidRPr="007D3A15">
        <w:rPr>
          <w:rFonts w:ascii="Garamond" w:hAnsi="Garamond"/>
        </w:rPr>
        <w:t xml:space="preserve"> </w:t>
      </w:r>
      <w:r w:rsidR="0064419B">
        <w:rPr>
          <w:rFonts w:ascii="Garamond" w:hAnsi="Garamond"/>
        </w:rPr>
        <w:t xml:space="preserve">gNB </w:t>
      </w:r>
      <w:r w:rsidR="00ED25DC" w:rsidRPr="007D3A15">
        <w:rPr>
          <w:rFonts w:ascii="Garamond" w:hAnsi="Garamond"/>
        </w:rPr>
        <w:t xml:space="preserve">for the remaining MCG(s) and SCG(s). </w:t>
      </w:r>
      <w:bookmarkStart w:id="4" w:name="_Hlk115363603"/>
      <w:r w:rsidR="00ED25DC" w:rsidRPr="007D3A15">
        <w:rPr>
          <w:rFonts w:ascii="Garamond" w:hAnsi="Garamond"/>
        </w:rPr>
        <w:t xml:space="preserve">To reduce the latency, gNB can </w:t>
      </w:r>
      <w:r w:rsidR="00C61948" w:rsidRPr="007D3A15">
        <w:rPr>
          <w:rFonts w:ascii="Garamond" w:hAnsi="Garamond"/>
        </w:rPr>
        <w:t>indicate</w:t>
      </w:r>
      <w:r w:rsidR="00ED25DC" w:rsidRPr="007D3A15">
        <w:rPr>
          <w:rFonts w:ascii="Garamond" w:hAnsi="Garamond"/>
        </w:rPr>
        <w:t xml:space="preserve"> </w:t>
      </w:r>
      <w:r w:rsidR="00C61948" w:rsidRPr="007D3A15">
        <w:rPr>
          <w:rFonts w:ascii="Garamond" w:hAnsi="Garamond"/>
        </w:rPr>
        <w:t xml:space="preserve">for each candidate </w:t>
      </w:r>
      <w:r w:rsidR="00ED25DC" w:rsidRPr="007D3A15">
        <w:rPr>
          <w:rFonts w:ascii="Garamond" w:hAnsi="Garamond"/>
        </w:rPr>
        <w:t xml:space="preserve">configuration </w:t>
      </w:r>
      <w:r w:rsidR="00C61948" w:rsidRPr="007D3A15">
        <w:rPr>
          <w:rFonts w:ascii="Garamond" w:hAnsi="Garamond"/>
        </w:rPr>
        <w:t xml:space="preserve">if the </w:t>
      </w:r>
      <w:r w:rsidR="00ED25DC" w:rsidRPr="007D3A15">
        <w:rPr>
          <w:rFonts w:ascii="Garamond" w:hAnsi="Garamond"/>
        </w:rPr>
        <w:t xml:space="preserve">required </w:t>
      </w:r>
      <w:r w:rsidR="00C61948" w:rsidRPr="007D3A15">
        <w:rPr>
          <w:rFonts w:ascii="Garamond" w:hAnsi="Garamond"/>
        </w:rPr>
        <w:t xml:space="preserve">TA is same as Source (or a TAG/ PSCell) or </w:t>
      </w:r>
      <w:r w:rsidR="00062AB5">
        <w:rPr>
          <w:rFonts w:ascii="Garamond" w:hAnsi="Garamond"/>
        </w:rPr>
        <w:t>not</w:t>
      </w:r>
      <w:bookmarkEnd w:id="4"/>
      <w:r w:rsidR="00ED25DC" w:rsidRPr="007D3A15">
        <w:rPr>
          <w:rFonts w:ascii="Garamond" w:hAnsi="Garamond"/>
        </w:rPr>
        <w:t>.</w:t>
      </w:r>
      <w:r w:rsidR="00ED3A29" w:rsidRPr="007D3A15">
        <w:rPr>
          <w:rFonts w:ascii="Garamond" w:hAnsi="Garamond"/>
        </w:rPr>
        <w:t xml:space="preserve"> </w:t>
      </w:r>
    </w:p>
    <w:p w14:paraId="05900457" w14:textId="171D26F9" w:rsidR="00E85334" w:rsidRPr="00C901D4" w:rsidRDefault="00D57A71" w:rsidP="002C03D0">
      <w:pPr>
        <w:rPr>
          <w:rFonts w:ascii="Garamond" w:hAnsi="Garamond"/>
          <w:b/>
          <w:bCs/>
          <w:lang w:eastAsia="en-GB"/>
        </w:rPr>
      </w:pPr>
      <w:r w:rsidRPr="00C901D4">
        <w:rPr>
          <w:rFonts w:ascii="Garamond" w:hAnsi="Garamond"/>
          <w:b/>
          <w:bCs/>
          <w:lang w:val="en-GB" w:eastAsia="en-GB"/>
        </w:rPr>
        <w:t xml:space="preserve">Proposal </w:t>
      </w:r>
      <w:r w:rsidR="00004CAF" w:rsidRPr="00C901D4">
        <w:rPr>
          <w:rFonts w:ascii="Garamond" w:hAnsi="Garamond"/>
          <w:b/>
          <w:bCs/>
          <w:lang w:val="en-GB" w:eastAsia="en-GB"/>
        </w:rPr>
        <w:t>3</w:t>
      </w:r>
      <w:r w:rsidRPr="00C901D4">
        <w:rPr>
          <w:rFonts w:ascii="Garamond" w:hAnsi="Garamond"/>
          <w:b/>
          <w:bCs/>
          <w:lang w:val="en-GB" w:eastAsia="en-GB"/>
        </w:rPr>
        <w:t xml:space="preserve">: </w:t>
      </w:r>
      <w:r w:rsidRPr="00C901D4">
        <w:rPr>
          <w:rFonts w:ascii="Garamond" w:hAnsi="Garamond"/>
          <w:b/>
          <w:bCs/>
        </w:rPr>
        <w:t>Rel. 17 CHO (MCG+SCG) procedure is chosen as baseline for MCG and SCG mobility including activation of these cell groups. UE does not release the remaining config received from source.</w:t>
      </w:r>
    </w:p>
    <w:p w14:paraId="185FB279" w14:textId="26C33903" w:rsidR="000C124B" w:rsidRPr="007022BC" w:rsidRDefault="000C124B" w:rsidP="000C124B">
      <w:pPr>
        <w:pStyle w:val="Heading1"/>
        <w:numPr>
          <w:ilvl w:val="0"/>
          <w:numId w:val="1"/>
        </w:numPr>
        <w:tabs>
          <w:tab w:val="num" w:pos="36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ind w:left="357" w:hanging="357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7022BC">
        <w:rPr>
          <w:rFonts w:ascii="Times New Roman" w:hAnsi="Times New Roman"/>
          <w:b/>
          <w:sz w:val="32"/>
          <w:szCs w:val="32"/>
          <w:lang w:eastAsia="zh-CN"/>
        </w:rPr>
        <w:t>Conclusion</w:t>
      </w:r>
    </w:p>
    <w:p w14:paraId="07EA6CD4" w14:textId="77777777" w:rsidR="00094C5A" w:rsidRDefault="00094C5A" w:rsidP="00F9300A">
      <w:pPr>
        <w:spacing w:afterLines="50" w:after="120"/>
        <w:rPr>
          <w:rFonts w:ascii="Garamond" w:hAnsi="Garamond" w:cs="Times New Roman"/>
          <w:sz w:val="20"/>
          <w:szCs w:val="20"/>
        </w:rPr>
      </w:pPr>
    </w:p>
    <w:p w14:paraId="3C2EA754" w14:textId="6A9C4405" w:rsidR="00CE5633" w:rsidRPr="00742E3F" w:rsidRDefault="000C124B" w:rsidP="00F9300A">
      <w:pPr>
        <w:spacing w:afterLines="50" w:after="120"/>
        <w:rPr>
          <w:rFonts w:ascii="Garamond" w:hAnsi="Garamond" w:cs="Times New Roman"/>
          <w:sz w:val="20"/>
          <w:szCs w:val="20"/>
        </w:rPr>
      </w:pPr>
      <w:r w:rsidRPr="00742E3F">
        <w:rPr>
          <w:rFonts w:ascii="Garamond" w:hAnsi="Garamond" w:cs="Times New Roman"/>
          <w:sz w:val="20"/>
          <w:szCs w:val="20"/>
        </w:rPr>
        <w:t xml:space="preserve">In this contribution, </w:t>
      </w:r>
      <w:r w:rsidR="0086405A" w:rsidRPr="00742E3F">
        <w:rPr>
          <w:rFonts w:ascii="Garamond" w:hAnsi="Garamond" w:cs="Times New Roman"/>
          <w:sz w:val="20"/>
          <w:szCs w:val="20"/>
        </w:rPr>
        <w:t xml:space="preserve">following </w:t>
      </w:r>
      <w:r w:rsidRPr="00742E3F">
        <w:rPr>
          <w:rFonts w:ascii="Garamond" w:hAnsi="Garamond" w:cs="Times New Roman"/>
          <w:sz w:val="20"/>
          <w:szCs w:val="20"/>
        </w:rPr>
        <w:t>proposal</w:t>
      </w:r>
      <w:r w:rsidR="0086405A" w:rsidRPr="00742E3F">
        <w:rPr>
          <w:rFonts w:ascii="Garamond" w:hAnsi="Garamond" w:cs="Times New Roman"/>
          <w:sz w:val="20"/>
          <w:szCs w:val="20"/>
        </w:rPr>
        <w:t>s</w:t>
      </w:r>
      <w:r w:rsidRPr="00742E3F">
        <w:rPr>
          <w:rFonts w:ascii="Garamond" w:hAnsi="Garamond" w:cs="Times New Roman"/>
          <w:sz w:val="20"/>
          <w:szCs w:val="20"/>
        </w:rPr>
        <w:t xml:space="preserve"> </w:t>
      </w:r>
      <w:r w:rsidR="0086405A" w:rsidRPr="00742E3F">
        <w:rPr>
          <w:rFonts w:ascii="Garamond" w:hAnsi="Garamond" w:cs="Times New Roman"/>
          <w:sz w:val="20"/>
          <w:szCs w:val="20"/>
        </w:rPr>
        <w:t xml:space="preserve">are </w:t>
      </w:r>
      <w:r w:rsidRPr="00742E3F">
        <w:rPr>
          <w:rFonts w:ascii="Garamond" w:hAnsi="Garamond" w:cs="Times New Roman"/>
          <w:sz w:val="20"/>
          <w:szCs w:val="20"/>
        </w:rPr>
        <w:t>made:</w:t>
      </w:r>
      <w:bookmarkStart w:id="5" w:name="_Annex"/>
      <w:bookmarkEnd w:id="5"/>
    </w:p>
    <w:p w14:paraId="546CE38A" w14:textId="77777777" w:rsidR="00004CAF" w:rsidRPr="00DF69EB" w:rsidRDefault="00004CAF" w:rsidP="00004CAF">
      <w:pPr>
        <w:rPr>
          <w:rFonts w:ascii="Garamond" w:hAnsi="Garamond"/>
          <w:b/>
          <w:bCs/>
        </w:rPr>
      </w:pPr>
      <w:r w:rsidRPr="00DF69EB">
        <w:rPr>
          <w:rFonts w:ascii="Garamond" w:hAnsi="Garamond"/>
          <w:b/>
          <w:bCs/>
        </w:rPr>
        <w:t>Proposal 1: The following 3-steps procedure is used to meet the lower layer based inter-cell mobility requirement:</w:t>
      </w:r>
    </w:p>
    <w:p w14:paraId="7062111A" w14:textId="77777777" w:rsidR="00004CAF" w:rsidRPr="00DF69EB" w:rsidRDefault="00004CAF" w:rsidP="00004CAF">
      <w:pPr>
        <w:pStyle w:val="ListParagraph"/>
        <w:numPr>
          <w:ilvl w:val="0"/>
          <w:numId w:val="17"/>
        </w:numPr>
        <w:rPr>
          <w:rFonts w:ascii="Garamond" w:hAnsi="Garamond"/>
          <w:b/>
          <w:bCs/>
        </w:rPr>
      </w:pPr>
      <w:r w:rsidRPr="00DF69EB">
        <w:rPr>
          <w:rFonts w:ascii="Garamond" w:hAnsi="Garamond"/>
          <w:b/>
          <w:bCs/>
        </w:rPr>
        <w:t>RRC Configuration with more than one candidate configuration</w:t>
      </w:r>
    </w:p>
    <w:p w14:paraId="7D3708D4" w14:textId="77777777" w:rsidR="00004CAF" w:rsidRPr="00DF69EB" w:rsidRDefault="00004CAF" w:rsidP="00004CAF">
      <w:pPr>
        <w:pStyle w:val="ListParagraph"/>
        <w:numPr>
          <w:ilvl w:val="0"/>
          <w:numId w:val="17"/>
        </w:numPr>
        <w:rPr>
          <w:rFonts w:ascii="Garamond" w:hAnsi="Garamond"/>
          <w:b/>
          <w:bCs/>
        </w:rPr>
      </w:pPr>
      <w:r w:rsidRPr="00DF69EB">
        <w:rPr>
          <w:rFonts w:ascii="Garamond" w:hAnsi="Garamond"/>
          <w:b/>
          <w:bCs/>
        </w:rPr>
        <w:t>LL based measurement reporting &amp; Mobility Command reception</w:t>
      </w:r>
    </w:p>
    <w:p w14:paraId="435AACEB" w14:textId="77777777" w:rsidR="00004CAF" w:rsidRPr="00DF69EB" w:rsidRDefault="00004CAF" w:rsidP="00004CAF">
      <w:pPr>
        <w:pStyle w:val="ListParagraph"/>
        <w:numPr>
          <w:ilvl w:val="0"/>
          <w:numId w:val="17"/>
        </w:numPr>
        <w:rPr>
          <w:rFonts w:ascii="Garamond" w:hAnsi="Garamond"/>
          <w:b/>
          <w:bCs/>
        </w:rPr>
      </w:pPr>
      <w:r w:rsidRPr="00DF69EB">
        <w:rPr>
          <w:rFonts w:ascii="Garamond" w:hAnsi="Garamond"/>
          <w:b/>
          <w:bCs/>
        </w:rPr>
        <w:t>Legacy based handover execution</w:t>
      </w:r>
    </w:p>
    <w:p w14:paraId="459A1E27" w14:textId="77777777" w:rsidR="00004CAF" w:rsidRPr="00004CAF" w:rsidRDefault="00004CAF" w:rsidP="00004CAF">
      <w:pPr>
        <w:pStyle w:val="Agreement"/>
        <w:numPr>
          <w:ilvl w:val="0"/>
          <w:numId w:val="0"/>
        </w:numPr>
        <w:rPr>
          <w:rFonts w:ascii="Garamond" w:hAnsi="Garamond"/>
          <w:sz w:val="22"/>
          <w:szCs w:val="22"/>
        </w:rPr>
      </w:pPr>
      <w:r w:rsidRPr="00E03EA1">
        <w:rPr>
          <w:rFonts w:ascii="Garamond" w:hAnsi="Garamond"/>
          <w:sz w:val="22"/>
          <w:szCs w:val="22"/>
        </w:rPr>
        <w:t xml:space="preserve">Proposal </w:t>
      </w:r>
      <w:r>
        <w:rPr>
          <w:rFonts w:ascii="Garamond" w:hAnsi="Garamond"/>
          <w:sz w:val="22"/>
          <w:szCs w:val="22"/>
        </w:rPr>
        <w:t>2</w:t>
      </w:r>
      <w:r w:rsidRPr="00E03EA1">
        <w:rPr>
          <w:rFonts w:ascii="Garamond" w:hAnsi="Garamond"/>
          <w:sz w:val="22"/>
          <w:szCs w:val="22"/>
        </w:rPr>
        <w:t xml:space="preserve">: Optimization for obtaining UL Synchronization before receiving lower layer command should be </w:t>
      </w:r>
      <w:r>
        <w:rPr>
          <w:rFonts w:ascii="Garamond" w:hAnsi="Garamond"/>
          <w:sz w:val="22"/>
          <w:szCs w:val="22"/>
        </w:rPr>
        <w:t>analysed</w:t>
      </w:r>
      <w:r w:rsidRPr="00E03EA1">
        <w:rPr>
          <w:rFonts w:ascii="Garamond" w:hAnsi="Garamond"/>
          <w:sz w:val="22"/>
          <w:szCs w:val="22"/>
        </w:rPr>
        <w:t xml:space="preserve"> for reducing the data interruption latency.</w:t>
      </w:r>
    </w:p>
    <w:p w14:paraId="6696B500" w14:textId="77777777" w:rsidR="00004CAF" w:rsidRDefault="00004CAF" w:rsidP="003D6028">
      <w:pPr>
        <w:rPr>
          <w:b/>
          <w:bCs/>
          <w:lang w:val="en-GB" w:eastAsia="en-GB"/>
        </w:rPr>
      </w:pPr>
    </w:p>
    <w:p w14:paraId="16429A98" w14:textId="364D0A60" w:rsidR="003D6028" w:rsidRPr="00004CAF" w:rsidRDefault="003D6028" w:rsidP="003D6028">
      <w:pPr>
        <w:rPr>
          <w:rFonts w:ascii="Garamond" w:hAnsi="Garamond"/>
          <w:b/>
          <w:bCs/>
          <w:lang w:eastAsia="en-GB"/>
        </w:rPr>
      </w:pPr>
      <w:r w:rsidRPr="00004CAF">
        <w:rPr>
          <w:rFonts w:ascii="Garamond" w:hAnsi="Garamond"/>
          <w:b/>
          <w:bCs/>
          <w:lang w:val="en-GB" w:eastAsia="en-GB"/>
        </w:rPr>
        <w:t xml:space="preserve">Proposal </w:t>
      </w:r>
      <w:r w:rsidR="00004CAF">
        <w:rPr>
          <w:rFonts w:ascii="Garamond" w:hAnsi="Garamond"/>
          <w:b/>
          <w:bCs/>
          <w:lang w:val="en-GB" w:eastAsia="en-GB"/>
        </w:rPr>
        <w:t>3</w:t>
      </w:r>
      <w:r w:rsidRPr="00004CAF">
        <w:rPr>
          <w:rFonts w:ascii="Garamond" w:hAnsi="Garamond"/>
          <w:b/>
          <w:bCs/>
          <w:lang w:val="en-GB" w:eastAsia="en-GB"/>
        </w:rPr>
        <w:t xml:space="preserve">: </w:t>
      </w:r>
      <w:r w:rsidRPr="00004CAF">
        <w:rPr>
          <w:rFonts w:ascii="Garamond" w:hAnsi="Garamond"/>
          <w:b/>
          <w:bCs/>
        </w:rPr>
        <w:t>Rel. 17 CHO (MCG+SCG) procedure is chosen as baseline for MCG and SCG mobility including activation of these cell groups. UE does not release the remaining config received from source.</w:t>
      </w:r>
    </w:p>
    <w:p w14:paraId="15726098" w14:textId="4AE48A32" w:rsidR="00035774" w:rsidRPr="003D6028" w:rsidRDefault="00035774" w:rsidP="00DE0B2B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3C968C36" w14:textId="2AA11AF5" w:rsidR="00E96543" w:rsidRPr="00E96543" w:rsidRDefault="00E96543" w:rsidP="00E96543">
      <w:pPr>
        <w:pStyle w:val="Heading1"/>
        <w:numPr>
          <w:ilvl w:val="0"/>
          <w:numId w:val="1"/>
        </w:numPr>
        <w:tabs>
          <w:tab w:val="num" w:pos="36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ind w:left="357" w:hanging="357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E96543">
        <w:rPr>
          <w:rFonts w:ascii="Times New Roman" w:hAnsi="Times New Roman"/>
          <w:b/>
          <w:sz w:val="32"/>
          <w:szCs w:val="32"/>
          <w:lang w:eastAsia="zh-CN"/>
        </w:rPr>
        <w:t>Objectives of WID</w:t>
      </w:r>
    </w:p>
    <w:p w14:paraId="2394A8CB" w14:textId="77777777" w:rsidR="00E96543" w:rsidRPr="00621C66" w:rsidRDefault="00E96543" w:rsidP="00DB7AB5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</w:rPr>
      </w:pPr>
      <w:r>
        <w:rPr>
          <w:bCs/>
        </w:rPr>
        <w:t xml:space="preserve">To specify mechanism and procedures of </w:t>
      </w:r>
      <w:r w:rsidRPr="005E09BE">
        <w:rPr>
          <w:rFonts w:hint="eastAsia"/>
          <w:bCs/>
          <w:color w:val="0070C0"/>
          <w:sz w:val="32"/>
          <w:szCs w:val="32"/>
        </w:rPr>
        <w:t>L</w:t>
      </w:r>
      <w:r w:rsidRPr="005E09BE">
        <w:rPr>
          <w:bCs/>
          <w:color w:val="0070C0"/>
          <w:sz w:val="32"/>
          <w:szCs w:val="32"/>
        </w:rPr>
        <w:t xml:space="preserve">1/L2 based inter-cell mobility </w:t>
      </w:r>
      <w:r>
        <w:rPr>
          <w:bCs/>
        </w:rPr>
        <w:t>for mobility latency reduction:</w:t>
      </w:r>
    </w:p>
    <w:p w14:paraId="191C3862" w14:textId="77777777" w:rsidR="00E96543" w:rsidRPr="00621C66" w:rsidRDefault="00E96543" w:rsidP="00E96543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</w:rPr>
      </w:pPr>
      <w:r>
        <w:rPr>
          <w:bCs/>
        </w:rPr>
        <w:t xml:space="preserve">Configuration and maintenance for </w:t>
      </w:r>
      <w:r w:rsidRPr="005E09BE">
        <w:rPr>
          <w:bCs/>
          <w:color w:val="0070C0"/>
          <w:sz w:val="24"/>
          <w:szCs w:val="24"/>
        </w:rPr>
        <w:t xml:space="preserve">multiple candidate cells </w:t>
      </w:r>
      <w:r>
        <w:rPr>
          <w:bCs/>
        </w:rPr>
        <w:t>to allow fast application of configurations for candidate cells [RAN2, RAN3</w:t>
      </w:r>
      <w:r w:rsidRPr="00621C66">
        <w:rPr>
          <w:bCs/>
        </w:rPr>
        <w:t>]</w:t>
      </w:r>
    </w:p>
    <w:p w14:paraId="6AABD543" w14:textId="77777777" w:rsidR="00E96543" w:rsidRPr="00621C66" w:rsidRDefault="00E96543" w:rsidP="00E96543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</w:rPr>
      </w:pPr>
      <w:r w:rsidRPr="005E09BE">
        <w:rPr>
          <w:bCs/>
          <w:color w:val="0070C0"/>
          <w:sz w:val="24"/>
          <w:szCs w:val="24"/>
        </w:rPr>
        <w:t xml:space="preserve">Dynamic switch mechanism among candidate </w:t>
      </w:r>
      <w:r w:rsidRPr="00B464C2">
        <w:rPr>
          <w:bCs/>
          <w:color w:val="0070C0"/>
          <w:sz w:val="32"/>
          <w:szCs w:val="32"/>
        </w:rPr>
        <w:t xml:space="preserve">serving cells </w:t>
      </w:r>
      <w:r>
        <w:rPr>
          <w:bCs/>
        </w:rPr>
        <w:t xml:space="preserve">(including </w:t>
      </w:r>
      <w:proofErr w:type="spellStart"/>
      <w:r>
        <w:rPr>
          <w:bCs/>
        </w:rPr>
        <w:t>SpCell</w:t>
      </w:r>
      <w:proofErr w:type="spellEnd"/>
      <w:r>
        <w:rPr>
          <w:bCs/>
        </w:rPr>
        <w:t xml:space="preserve"> and </w:t>
      </w:r>
      <w:proofErr w:type="spellStart"/>
      <w:r>
        <w:rPr>
          <w:bCs/>
        </w:rPr>
        <w:t>SCell</w:t>
      </w:r>
      <w:proofErr w:type="spellEnd"/>
      <w:r>
        <w:rPr>
          <w:bCs/>
        </w:rPr>
        <w:t>) for the potential applicable scenarios based on L1</w:t>
      </w:r>
      <w:r>
        <w:rPr>
          <w:rFonts w:hint="eastAsia"/>
          <w:bCs/>
        </w:rPr>
        <w:t>/</w:t>
      </w:r>
      <w:r>
        <w:rPr>
          <w:bCs/>
        </w:rPr>
        <w:t>L2 signalling</w:t>
      </w:r>
      <w:r w:rsidRPr="00621C66">
        <w:rPr>
          <w:bCs/>
        </w:rPr>
        <w:t xml:space="preserve"> [RAN</w:t>
      </w:r>
      <w:r>
        <w:rPr>
          <w:bCs/>
        </w:rPr>
        <w:t>2</w:t>
      </w:r>
      <w:r w:rsidRPr="00621C66">
        <w:rPr>
          <w:bCs/>
        </w:rPr>
        <w:t>, RAN</w:t>
      </w:r>
      <w:r>
        <w:rPr>
          <w:bCs/>
        </w:rPr>
        <w:t>1</w:t>
      </w:r>
      <w:r w:rsidRPr="00621C66">
        <w:rPr>
          <w:bCs/>
        </w:rPr>
        <w:t>]</w:t>
      </w:r>
    </w:p>
    <w:p w14:paraId="5D2162BD" w14:textId="77777777" w:rsidR="00E96543" w:rsidRDefault="00E96543" w:rsidP="00E96543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</w:rPr>
      </w:pPr>
      <w:r w:rsidRPr="005E09BE">
        <w:rPr>
          <w:bCs/>
          <w:color w:val="0070C0"/>
        </w:rPr>
        <w:t xml:space="preserve">L1 enhancements for inter-cell beam management, including </w:t>
      </w:r>
      <w:r w:rsidRPr="005E09BE">
        <w:rPr>
          <w:rFonts w:hint="eastAsia"/>
          <w:bCs/>
          <w:color w:val="0070C0"/>
        </w:rPr>
        <w:t>L</w:t>
      </w:r>
      <w:r w:rsidRPr="005E09BE">
        <w:rPr>
          <w:bCs/>
          <w:color w:val="0070C0"/>
        </w:rPr>
        <w:t xml:space="preserve">1 measurement and reporting, </w:t>
      </w:r>
      <w:r>
        <w:rPr>
          <w:bCs/>
        </w:rPr>
        <w:t>and beam indication [RAN1, RAN2]</w:t>
      </w:r>
    </w:p>
    <w:p w14:paraId="44CBB1B2" w14:textId="77777777" w:rsidR="00CA7161" w:rsidRDefault="00E96543" w:rsidP="00E96543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  <w:i/>
        </w:rPr>
      </w:pPr>
      <w:r w:rsidRPr="00F736B4">
        <w:rPr>
          <w:bCs/>
          <w:i/>
        </w:rPr>
        <w:t xml:space="preserve">Note </w:t>
      </w:r>
      <w:r w:rsidRPr="00C62537">
        <w:rPr>
          <w:bCs/>
          <w:i/>
        </w:rPr>
        <w:t>1</w:t>
      </w:r>
      <w:r w:rsidRPr="00F736B4">
        <w:rPr>
          <w:bCs/>
          <w:i/>
        </w:rPr>
        <w:t xml:space="preserve">: </w:t>
      </w:r>
      <w:r>
        <w:rPr>
          <w:bCs/>
          <w:i/>
        </w:rPr>
        <w:t>E</w:t>
      </w:r>
      <w:r w:rsidRPr="00F736B4">
        <w:rPr>
          <w:bCs/>
          <w:i/>
        </w:rPr>
        <w:t>arly RAN2 involvement is necessary, including the possibility of further clarifying the interaction between this bullet with the previous bullet</w:t>
      </w:r>
    </w:p>
    <w:p w14:paraId="0193F117" w14:textId="7C6DB138" w:rsidR="00E96543" w:rsidRPr="00EB2BDC" w:rsidRDefault="00E96543" w:rsidP="00CA716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  <w:i/>
        </w:rPr>
      </w:pPr>
      <w:r w:rsidRPr="00CA7161">
        <w:rPr>
          <w:bCs/>
        </w:rPr>
        <w:t>Timing Advance management [RAN1, RAN2]</w:t>
      </w:r>
    </w:p>
    <w:p w14:paraId="3B075358" w14:textId="77777777" w:rsidR="0069755E" w:rsidRDefault="0069755E" w:rsidP="0069755E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bCs/>
        </w:rPr>
      </w:pPr>
    </w:p>
    <w:p w14:paraId="5952F336" w14:textId="6938970A" w:rsidR="00EB2BDC" w:rsidRDefault="00EB2BDC" w:rsidP="00DB7AB5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</w:rPr>
      </w:pPr>
      <w:r>
        <w:rPr>
          <w:bCs/>
        </w:rPr>
        <w:t xml:space="preserve">To specify mechanism and </w:t>
      </w:r>
      <w:r w:rsidRPr="009F0BE7">
        <w:rPr>
          <w:bCs/>
          <w:color w:val="FF0000"/>
          <w:sz w:val="28"/>
          <w:szCs w:val="28"/>
        </w:rPr>
        <w:t>procedures of NR-DC with selective activation of the cell groups (at least for SCG)</w:t>
      </w:r>
      <w:r w:rsidRPr="0069755E">
        <w:rPr>
          <w:bCs/>
          <w:sz w:val="18"/>
          <w:szCs w:val="18"/>
        </w:rPr>
        <w:t xml:space="preserve"> </w:t>
      </w:r>
      <w:r>
        <w:rPr>
          <w:bCs/>
        </w:rPr>
        <w:t>via L3 enhancements:</w:t>
      </w:r>
    </w:p>
    <w:p w14:paraId="5E494950" w14:textId="77777777" w:rsidR="00EB2BDC" w:rsidRDefault="00EB2BDC" w:rsidP="00EB2BDC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</w:rPr>
      </w:pPr>
      <w:r>
        <w:rPr>
          <w:bCs/>
        </w:rPr>
        <w:t xml:space="preserve">To allow subsequent cell group change after changing </w:t>
      </w:r>
      <w:r w:rsidRPr="009F7B9C">
        <w:rPr>
          <w:bCs/>
        </w:rPr>
        <w:t>CG</w:t>
      </w:r>
      <w:r>
        <w:rPr>
          <w:bCs/>
        </w:rPr>
        <w:t xml:space="preserve"> without reconfiguration and re-initiation of CPC/CPA [RAN2, RAN3, RAN4]</w:t>
      </w:r>
    </w:p>
    <w:p w14:paraId="17735D9A" w14:textId="3FDA9B23" w:rsidR="0069755E" w:rsidRPr="0069755E" w:rsidRDefault="00EB2BDC" w:rsidP="0069755E">
      <w:pPr>
        <w:spacing w:after="0"/>
        <w:ind w:left="720"/>
        <w:jc w:val="both"/>
        <w:rPr>
          <w:bCs/>
          <w:i/>
        </w:rPr>
      </w:pPr>
      <w:r w:rsidRPr="00F736B4">
        <w:rPr>
          <w:bCs/>
          <w:i/>
        </w:rPr>
        <w:t>Note 4: A harmonized</w:t>
      </w:r>
      <w:r w:rsidRPr="00C62537">
        <w:rPr>
          <w:rStyle w:val="Emphasis"/>
        </w:rPr>
        <w:t xml:space="preserve"> RRC modelling </w:t>
      </w:r>
      <w:r w:rsidRPr="00E9536B">
        <w:rPr>
          <w:rStyle w:val="Emphasis"/>
        </w:rPr>
        <w:t>approach for objective</w:t>
      </w:r>
      <w:r w:rsidRPr="00F736B4">
        <w:rPr>
          <w:rStyle w:val="Emphasis"/>
        </w:rPr>
        <w:t>s</w:t>
      </w:r>
      <w:r w:rsidRPr="00C62537">
        <w:rPr>
          <w:rStyle w:val="Emphasis"/>
        </w:rPr>
        <w:t xml:space="preserve"> 1 and 2 could be cons</w:t>
      </w:r>
      <w:r w:rsidRPr="00E9536B">
        <w:rPr>
          <w:rStyle w:val="Emphasis"/>
        </w:rPr>
        <w:t>idered to minimize the work</w:t>
      </w:r>
      <w:r w:rsidRPr="00331F60">
        <w:rPr>
          <w:rStyle w:val="Emphasis"/>
        </w:rPr>
        <w:t xml:space="preserve">load in </w:t>
      </w:r>
      <w:r w:rsidRPr="00B67AE0">
        <w:rPr>
          <w:rStyle w:val="Emphasis"/>
        </w:rPr>
        <w:t>RAN2.</w:t>
      </w:r>
    </w:p>
    <w:p w14:paraId="4AF8D409" w14:textId="77777777" w:rsidR="0069755E" w:rsidRDefault="0069755E" w:rsidP="0069755E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bCs/>
        </w:rPr>
      </w:pPr>
    </w:p>
    <w:p w14:paraId="7CD37FD4" w14:textId="407E5E6A" w:rsidR="0069755E" w:rsidRDefault="0069755E" w:rsidP="00DB7AB5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</w:rPr>
      </w:pPr>
      <w:r>
        <w:rPr>
          <w:bCs/>
        </w:rPr>
        <w:t>For RAN3</w:t>
      </w:r>
    </w:p>
    <w:p w14:paraId="5227DF13" w14:textId="77777777" w:rsidR="0069755E" w:rsidRDefault="0069755E" w:rsidP="0069755E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bCs/>
        </w:rPr>
      </w:pPr>
    </w:p>
    <w:p w14:paraId="309DC25A" w14:textId="0FD3F9EE" w:rsidR="00EB2BDC" w:rsidRPr="00185046" w:rsidRDefault="00EB2BDC" w:rsidP="00DB7AB5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</w:rPr>
      </w:pPr>
      <w:r>
        <w:rPr>
          <w:bCs/>
        </w:rPr>
        <w:t xml:space="preserve">To </w:t>
      </w:r>
      <w:r w:rsidRPr="00B03414">
        <w:rPr>
          <w:bCs/>
          <w:color w:val="FF0000"/>
        </w:rPr>
        <w:t xml:space="preserve">specify CHO including target MCG and candidate SCGs for CPC/CPA in NR-DC </w:t>
      </w:r>
      <w:r>
        <w:rPr>
          <w:bCs/>
        </w:rPr>
        <w:t>[RAN3, RAN2]</w:t>
      </w:r>
    </w:p>
    <w:p w14:paraId="0491AFA0" w14:textId="4525C41B" w:rsidR="00CA7F6D" w:rsidRPr="00CA7F6D" w:rsidRDefault="00EB2BDC" w:rsidP="00CA7F6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Cs/>
        </w:rPr>
      </w:pPr>
      <w:r>
        <w:rPr>
          <w:bCs/>
        </w:rPr>
        <w:t>CHO including target MCG and target SCG is used as the baseline</w:t>
      </w:r>
    </w:p>
    <w:sectPr w:rsidR="00CA7F6D" w:rsidRPr="00CA7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1A429" w14:textId="77777777" w:rsidR="006C0AEE" w:rsidRDefault="006C0AEE" w:rsidP="00FC6453">
      <w:pPr>
        <w:spacing w:after="0" w:line="240" w:lineRule="auto"/>
      </w:pPr>
      <w:r>
        <w:separator/>
      </w:r>
    </w:p>
  </w:endnote>
  <w:endnote w:type="continuationSeparator" w:id="0">
    <w:p w14:paraId="32866A8A" w14:textId="77777777" w:rsidR="006C0AEE" w:rsidRDefault="006C0AEE" w:rsidP="00FC6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7F840" w14:textId="77777777" w:rsidR="006C0AEE" w:rsidRDefault="006C0AEE" w:rsidP="00FC6453">
      <w:pPr>
        <w:spacing w:after="0" w:line="240" w:lineRule="auto"/>
      </w:pPr>
      <w:r>
        <w:separator/>
      </w:r>
    </w:p>
  </w:footnote>
  <w:footnote w:type="continuationSeparator" w:id="0">
    <w:p w14:paraId="5C3F6E79" w14:textId="77777777" w:rsidR="006C0AEE" w:rsidRDefault="006C0AEE" w:rsidP="00FC64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A309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AD12214"/>
    <w:multiLevelType w:val="multilevel"/>
    <w:tmpl w:val="DBBC42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E280CF3"/>
    <w:multiLevelType w:val="hybridMultilevel"/>
    <w:tmpl w:val="C3EA5E86"/>
    <w:lvl w:ilvl="0" w:tplc="E724036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707E0F"/>
    <w:multiLevelType w:val="hybridMultilevel"/>
    <w:tmpl w:val="AC7A3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0A13FE"/>
    <w:multiLevelType w:val="hybridMultilevel"/>
    <w:tmpl w:val="755248D8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386CDAA4">
      <w:start w:val="1"/>
      <w:numFmt w:val="lowerLetter"/>
      <w:lvlText w:val="%2)"/>
      <w:lvlJc w:val="left"/>
      <w:pPr>
        <w:ind w:left="1200" w:hanging="42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3AA46647"/>
    <w:multiLevelType w:val="hybridMultilevel"/>
    <w:tmpl w:val="E4A08C5C"/>
    <w:lvl w:ilvl="0" w:tplc="3294A5C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7" w15:restartNumberingAfterBreak="0">
    <w:nsid w:val="3C705A06"/>
    <w:multiLevelType w:val="hybridMultilevel"/>
    <w:tmpl w:val="CAB61BFE"/>
    <w:lvl w:ilvl="0" w:tplc="69461C08">
      <w:start w:val="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CD61238"/>
    <w:multiLevelType w:val="hybridMultilevel"/>
    <w:tmpl w:val="2BB876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403C4"/>
    <w:multiLevelType w:val="hybridMultilevel"/>
    <w:tmpl w:val="1F928D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7A84A7BC">
      <w:start w:val="1"/>
      <w:numFmt w:val="decimal"/>
      <w:lvlText w:val="%2."/>
      <w:lvlJc w:val="left"/>
      <w:pPr>
        <w:ind w:left="1200" w:hanging="42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52653546"/>
    <w:multiLevelType w:val="hybridMultilevel"/>
    <w:tmpl w:val="E78C70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57F0F"/>
    <w:multiLevelType w:val="hybridMultilevel"/>
    <w:tmpl w:val="65C250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C42CB5"/>
    <w:multiLevelType w:val="hybridMultilevel"/>
    <w:tmpl w:val="604235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200" w:hanging="42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FFFFFFFF">
      <w:start w:val="1"/>
      <w:numFmt w:val="lowerLetter"/>
      <w:lvlText w:val="%5)"/>
      <w:lvlJc w:val="left"/>
      <w:pPr>
        <w:ind w:left="2460" w:hanging="420"/>
      </w:pPr>
    </w:lvl>
    <w:lvl w:ilvl="5" w:tplc="FFFFFFFF">
      <w:start w:val="1"/>
      <w:numFmt w:val="lowerRoman"/>
      <w:lvlText w:val="%6."/>
      <w:lvlJc w:val="right"/>
      <w:pPr>
        <w:ind w:left="2880" w:hanging="420"/>
      </w:pPr>
    </w:lvl>
    <w:lvl w:ilvl="6" w:tplc="FFFFFFFF">
      <w:start w:val="1"/>
      <w:numFmt w:val="decimal"/>
      <w:lvlText w:val="%7."/>
      <w:lvlJc w:val="left"/>
      <w:pPr>
        <w:ind w:left="3300" w:hanging="420"/>
      </w:pPr>
    </w:lvl>
    <w:lvl w:ilvl="7" w:tplc="FFFFFFFF">
      <w:start w:val="1"/>
      <w:numFmt w:val="lowerLetter"/>
      <w:lvlText w:val="%8)"/>
      <w:lvlJc w:val="left"/>
      <w:pPr>
        <w:ind w:left="3720" w:hanging="420"/>
      </w:pPr>
    </w:lvl>
    <w:lvl w:ilvl="8" w:tplc="FFFFFFFF">
      <w:start w:val="1"/>
      <w:numFmt w:val="lowerRoman"/>
      <w:lvlText w:val="%9."/>
      <w:lvlJc w:val="right"/>
      <w:pPr>
        <w:ind w:left="4140" w:hanging="420"/>
      </w:pPr>
    </w:lvl>
  </w:abstractNum>
  <w:abstractNum w:abstractNumId="14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9B4660A"/>
    <w:multiLevelType w:val="hybridMultilevel"/>
    <w:tmpl w:val="470E3666"/>
    <w:lvl w:ilvl="0" w:tplc="75C80050">
      <w:start w:val="1"/>
      <w:numFmt w:val="lowerLetter"/>
      <w:lvlText w:val="%1)"/>
      <w:lvlJc w:val="left"/>
      <w:pPr>
        <w:ind w:left="720" w:hanging="360"/>
      </w:pPr>
      <w:rPr>
        <w:lang w:val="en-US"/>
      </w:rPr>
    </w:lvl>
    <w:lvl w:ilvl="1" w:tplc="FFFFFFFF">
      <w:start w:val="1"/>
      <w:numFmt w:val="decimal"/>
      <w:lvlText w:val="%2."/>
      <w:lvlJc w:val="left"/>
      <w:pPr>
        <w:ind w:left="1200" w:hanging="42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FFFFFFFF">
      <w:start w:val="1"/>
      <w:numFmt w:val="lowerLetter"/>
      <w:lvlText w:val="%5)"/>
      <w:lvlJc w:val="left"/>
      <w:pPr>
        <w:ind w:left="2460" w:hanging="420"/>
      </w:pPr>
    </w:lvl>
    <w:lvl w:ilvl="5" w:tplc="FFFFFFFF">
      <w:start w:val="1"/>
      <w:numFmt w:val="lowerRoman"/>
      <w:lvlText w:val="%6."/>
      <w:lvlJc w:val="right"/>
      <w:pPr>
        <w:ind w:left="2880" w:hanging="420"/>
      </w:pPr>
    </w:lvl>
    <w:lvl w:ilvl="6" w:tplc="FFFFFFFF">
      <w:start w:val="1"/>
      <w:numFmt w:val="decimal"/>
      <w:lvlText w:val="%7."/>
      <w:lvlJc w:val="left"/>
      <w:pPr>
        <w:ind w:left="3300" w:hanging="420"/>
      </w:pPr>
    </w:lvl>
    <w:lvl w:ilvl="7" w:tplc="FFFFFFFF">
      <w:start w:val="1"/>
      <w:numFmt w:val="lowerLetter"/>
      <w:lvlText w:val="%8)"/>
      <w:lvlJc w:val="left"/>
      <w:pPr>
        <w:ind w:left="3720" w:hanging="420"/>
      </w:pPr>
    </w:lvl>
    <w:lvl w:ilvl="8" w:tplc="FFFFFFFF">
      <w:start w:val="1"/>
      <w:numFmt w:val="lowerRoman"/>
      <w:lvlText w:val="%9."/>
      <w:lvlJc w:val="right"/>
      <w:pPr>
        <w:ind w:left="4140" w:hanging="420"/>
      </w:pPr>
    </w:lvl>
  </w:abstractNum>
  <w:abstractNum w:abstractNumId="16" w15:restartNumberingAfterBreak="0">
    <w:nsid w:val="6C5B2A76"/>
    <w:multiLevelType w:val="hybridMultilevel"/>
    <w:tmpl w:val="35208C4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8" w15:restartNumberingAfterBreak="0">
    <w:nsid w:val="7B3C121B"/>
    <w:multiLevelType w:val="hybridMultilevel"/>
    <w:tmpl w:val="82EE4646"/>
    <w:lvl w:ilvl="0" w:tplc="10DE59F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10"/>
  </w:num>
  <w:num w:numId="4">
    <w:abstractNumId w:val="2"/>
  </w:num>
  <w:num w:numId="5">
    <w:abstractNumId w:val="14"/>
  </w:num>
  <w:num w:numId="6">
    <w:abstractNumId w:val="0"/>
  </w:num>
  <w:num w:numId="7">
    <w:abstractNumId w:val="2"/>
  </w:num>
  <w:num w:numId="8">
    <w:abstractNumId w:val="10"/>
  </w:num>
  <w:num w:numId="9">
    <w:abstractNumId w:val="5"/>
  </w:num>
  <w:num w:numId="10">
    <w:abstractNumId w:val="7"/>
  </w:num>
  <w:num w:numId="11">
    <w:abstractNumId w:val="6"/>
  </w:num>
  <w:num w:numId="12">
    <w:abstractNumId w:val="3"/>
  </w:num>
  <w:num w:numId="13">
    <w:abstractNumId w:val="9"/>
  </w:num>
  <w:num w:numId="14">
    <w:abstractNumId w:val="11"/>
  </w:num>
  <w:num w:numId="15">
    <w:abstractNumId w:val="16"/>
  </w:num>
  <w:num w:numId="16">
    <w:abstractNumId w:val="13"/>
  </w:num>
  <w:num w:numId="17">
    <w:abstractNumId w:val="4"/>
  </w:num>
  <w:num w:numId="18">
    <w:abstractNumId w:val="17"/>
  </w:num>
  <w:num w:numId="19">
    <w:abstractNumId w:val="12"/>
  </w:num>
  <w:num w:numId="20">
    <w:abstractNumId w:val="8"/>
  </w:num>
  <w:num w:numId="21">
    <w:abstractNumId w:val="17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B44"/>
    <w:rsid w:val="00004CAF"/>
    <w:rsid w:val="00004FFD"/>
    <w:rsid w:val="0000648A"/>
    <w:rsid w:val="0001114C"/>
    <w:rsid w:val="00024B0A"/>
    <w:rsid w:val="00027C7A"/>
    <w:rsid w:val="000316E0"/>
    <w:rsid w:val="000338BB"/>
    <w:rsid w:val="00035774"/>
    <w:rsid w:val="00052297"/>
    <w:rsid w:val="000601F6"/>
    <w:rsid w:val="0006170C"/>
    <w:rsid w:val="00062AB5"/>
    <w:rsid w:val="00067B60"/>
    <w:rsid w:val="00072F36"/>
    <w:rsid w:val="00082C7A"/>
    <w:rsid w:val="00094C5A"/>
    <w:rsid w:val="000A1557"/>
    <w:rsid w:val="000A165E"/>
    <w:rsid w:val="000A4C8B"/>
    <w:rsid w:val="000A6F76"/>
    <w:rsid w:val="000B5090"/>
    <w:rsid w:val="000C124B"/>
    <w:rsid w:val="000E38D0"/>
    <w:rsid w:val="000E5C02"/>
    <w:rsid w:val="00104D48"/>
    <w:rsid w:val="0011313A"/>
    <w:rsid w:val="00113BC6"/>
    <w:rsid w:val="00115A2B"/>
    <w:rsid w:val="0012200A"/>
    <w:rsid w:val="001243B1"/>
    <w:rsid w:val="00124CEF"/>
    <w:rsid w:val="00133BAB"/>
    <w:rsid w:val="00135446"/>
    <w:rsid w:val="00155AAA"/>
    <w:rsid w:val="00160140"/>
    <w:rsid w:val="001611F1"/>
    <w:rsid w:val="0017228D"/>
    <w:rsid w:val="00172899"/>
    <w:rsid w:val="0017502D"/>
    <w:rsid w:val="00180B0E"/>
    <w:rsid w:val="00182CD2"/>
    <w:rsid w:val="001A3916"/>
    <w:rsid w:val="001A547E"/>
    <w:rsid w:val="001A6BB3"/>
    <w:rsid w:val="001B3499"/>
    <w:rsid w:val="001C2F13"/>
    <w:rsid w:val="001C791C"/>
    <w:rsid w:val="001C7BF0"/>
    <w:rsid w:val="001C7CC0"/>
    <w:rsid w:val="001D584A"/>
    <w:rsid w:val="001F1A9F"/>
    <w:rsid w:val="001F657F"/>
    <w:rsid w:val="002014B3"/>
    <w:rsid w:val="00206630"/>
    <w:rsid w:val="0021733E"/>
    <w:rsid w:val="00221509"/>
    <w:rsid w:val="00224828"/>
    <w:rsid w:val="002268C7"/>
    <w:rsid w:val="002325AD"/>
    <w:rsid w:val="00233B00"/>
    <w:rsid w:val="0023735A"/>
    <w:rsid w:val="00241D01"/>
    <w:rsid w:val="00247E40"/>
    <w:rsid w:val="00251244"/>
    <w:rsid w:val="0027067B"/>
    <w:rsid w:val="00276A24"/>
    <w:rsid w:val="00296553"/>
    <w:rsid w:val="002A55D9"/>
    <w:rsid w:val="002C03D0"/>
    <w:rsid w:val="002C3D2D"/>
    <w:rsid w:val="002D1DF2"/>
    <w:rsid w:val="002E3235"/>
    <w:rsid w:val="002E5577"/>
    <w:rsid w:val="002E5873"/>
    <w:rsid w:val="002F5A69"/>
    <w:rsid w:val="003145C8"/>
    <w:rsid w:val="00324F3B"/>
    <w:rsid w:val="00346AB2"/>
    <w:rsid w:val="00353336"/>
    <w:rsid w:val="00361B8B"/>
    <w:rsid w:val="003644B0"/>
    <w:rsid w:val="00393691"/>
    <w:rsid w:val="003A422B"/>
    <w:rsid w:val="003A6C51"/>
    <w:rsid w:val="003C6344"/>
    <w:rsid w:val="003D061E"/>
    <w:rsid w:val="003D2B38"/>
    <w:rsid w:val="003D6028"/>
    <w:rsid w:val="003E0030"/>
    <w:rsid w:val="003E1925"/>
    <w:rsid w:val="003E3C25"/>
    <w:rsid w:val="003F1FB2"/>
    <w:rsid w:val="00402305"/>
    <w:rsid w:val="00410779"/>
    <w:rsid w:val="00412CD0"/>
    <w:rsid w:val="00436ECE"/>
    <w:rsid w:val="004412D3"/>
    <w:rsid w:val="00443173"/>
    <w:rsid w:val="00452B28"/>
    <w:rsid w:val="00452D98"/>
    <w:rsid w:val="00466103"/>
    <w:rsid w:val="00473823"/>
    <w:rsid w:val="00481055"/>
    <w:rsid w:val="00484DDA"/>
    <w:rsid w:val="00486034"/>
    <w:rsid w:val="00497DF4"/>
    <w:rsid w:val="004A72C1"/>
    <w:rsid w:val="004B458E"/>
    <w:rsid w:val="004C2669"/>
    <w:rsid w:val="004C532C"/>
    <w:rsid w:val="004D1BB9"/>
    <w:rsid w:val="004D21B9"/>
    <w:rsid w:val="004D346B"/>
    <w:rsid w:val="004D45C8"/>
    <w:rsid w:val="004E2DF0"/>
    <w:rsid w:val="004E41EE"/>
    <w:rsid w:val="00506CEF"/>
    <w:rsid w:val="00507030"/>
    <w:rsid w:val="0051762B"/>
    <w:rsid w:val="00521BD3"/>
    <w:rsid w:val="00540952"/>
    <w:rsid w:val="005409CE"/>
    <w:rsid w:val="00540E31"/>
    <w:rsid w:val="005417A6"/>
    <w:rsid w:val="00554C37"/>
    <w:rsid w:val="0056786C"/>
    <w:rsid w:val="0057200D"/>
    <w:rsid w:val="005B22B1"/>
    <w:rsid w:val="005B7C0E"/>
    <w:rsid w:val="005E003D"/>
    <w:rsid w:val="005E09BE"/>
    <w:rsid w:val="005F51BD"/>
    <w:rsid w:val="00607A1C"/>
    <w:rsid w:val="00607DE8"/>
    <w:rsid w:val="0061405D"/>
    <w:rsid w:val="00620939"/>
    <w:rsid w:val="00630420"/>
    <w:rsid w:val="0064419B"/>
    <w:rsid w:val="00647426"/>
    <w:rsid w:val="00654BEE"/>
    <w:rsid w:val="0065544D"/>
    <w:rsid w:val="00657CA7"/>
    <w:rsid w:val="00665C1E"/>
    <w:rsid w:val="00666848"/>
    <w:rsid w:val="00671B79"/>
    <w:rsid w:val="00687224"/>
    <w:rsid w:val="0069202C"/>
    <w:rsid w:val="0069755E"/>
    <w:rsid w:val="006C0AEE"/>
    <w:rsid w:val="006D379B"/>
    <w:rsid w:val="006F57F6"/>
    <w:rsid w:val="006F5EEC"/>
    <w:rsid w:val="00700BC8"/>
    <w:rsid w:val="00700C64"/>
    <w:rsid w:val="007022BC"/>
    <w:rsid w:val="00710217"/>
    <w:rsid w:val="007123BA"/>
    <w:rsid w:val="007141D3"/>
    <w:rsid w:val="00730096"/>
    <w:rsid w:val="00731253"/>
    <w:rsid w:val="007402ED"/>
    <w:rsid w:val="00742E3F"/>
    <w:rsid w:val="0074618D"/>
    <w:rsid w:val="00746B52"/>
    <w:rsid w:val="00750FCF"/>
    <w:rsid w:val="007549E8"/>
    <w:rsid w:val="00770BE4"/>
    <w:rsid w:val="00771B6C"/>
    <w:rsid w:val="00776A56"/>
    <w:rsid w:val="00784908"/>
    <w:rsid w:val="007873E2"/>
    <w:rsid w:val="00794482"/>
    <w:rsid w:val="007A45FC"/>
    <w:rsid w:val="007B326C"/>
    <w:rsid w:val="007B3F8E"/>
    <w:rsid w:val="007B6B92"/>
    <w:rsid w:val="007C6053"/>
    <w:rsid w:val="007D184E"/>
    <w:rsid w:val="007D3A15"/>
    <w:rsid w:val="007E384C"/>
    <w:rsid w:val="007F0388"/>
    <w:rsid w:val="007F6CA4"/>
    <w:rsid w:val="0082133D"/>
    <w:rsid w:val="00842F4C"/>
    <w:rsid w:val="00850A43"/>
    <w:rsid w:val="00854030"/>
    <w:rsid w:val="0086405A"/>
    <w:rsid w:val="00864147"/>
    <w:rsid w:val="008666B6"/>
    <w:rsid w:val="00875528"/>
    <w:rsid w:val="00875705"/>
    <w:rsid w:val="008A1EEB"/>
    <w:rsid w:val="008B665C"/>
    <w:rsid w:val="008C4B53"/>
    <w:rsid w:val="008C7136"/>
    <w:rsid w:val="008D76DE"/>
    <w:rsid w:val="008D7872"/>
    <w:rsid w:val="008F1DD5"/>
    <w:rsid w:val="008F45D3"/>
    <w:rsid w:val="008F7226"/>
    <w:rsid w:val="008F7661"/>
    <w:rsid w:val="008F799D"/>
    <w:rsid w:val="00934F0E"/>
    <w:rsid w:val="00942490"/>
    <w:rsid w:val="009458EE"/>
    <w:rsid w:val="00960A79"/>
    <w:rsid w:val="00960B44"/>
    <w:rsid w:val="00973E92"/>
    <w:rsid w:val="009856B8"/>
    <w:rsid w:val="009B6915"/>
    <w:rsid w:val="009B7DC6"/>
    <w:rsid w:val="009E1EF8"/>
    <w:rsid w:val="009F0BE7"/>
    <w:rsid w:val="009F1905"/>
    <w:rsid w:val="009F554A"/>
    <w:rsid w:val="009F6F3F"/>
    <w:rsid w:val="009F76EF"/>
    <w:rsid w:val="00A002DF"/>
    <w:rsid w:val="00A07924"/>
    <w:rsid w:val="00A13980"/>
    <w:rsid w:val="00A25C10"/>
    <w:rsid w:val="00A31EC7"/>
    <w:rsid w:val="00A359FD"/>
    <w:rsid w:val="00A5012C"/>
    <w:rsid w:val="00A62F0D"/>
    <w:rsid w:val="00A71ABE"/>
    <w:rsid w:val="00A760D0"/>
    <w:rsid w:val="00A90ACD"/>
    <w:rsid w:val="00A92D82"/>
    <w:rsid w:val="00A948BC"/>
    <w:rsid w:val="00A972B3"/>
    <w:rsid w:val="00AC4BE0"/>
    <w:rsid w:val="00AC4D21"/>
    <w:rsid w:val="00AD04BB"/>
    <w:rsid w:val="00AD0794"/>
    <w:rsid w:val="00AD5884"/>
    <w:rsid w:val="00AE1FF9"/>
    <w:rsid w:val="00AE6FD9"/>
    <w:rsid w:val="00AE79A9"/>
    <w:rsid w:val="00B0207E"/>
    <w:rsid w:val="00B0359E"/>
    <w:rsid w:val="00B12BF3"/>
    <w:rsid w:val="00B13AA5"/>
    <w:rsid w:val="00B22907"/>
    <w:rsid w:val="00B236FD"/>
    <w:rsid w:val="00B2747B"/>
    <w:rsid w:val="00B35AF2"/>
    <w:rsid w:val="00B40D6D"/>
    <w:rsid w:val="00B464C2"/>
    <w:rsid w:val="00B47449"/>
    <w:rsid w:val="00B563DA"/>
    <w:rsid w:val="00BA2F77"/>
    <w:rsid w:val="00BA3BF7"/>
    <w:rsid w:val="00BA3E4B"/>
    <w:rsid w:val="00BB1B16"/>
    <w:rsid w:val="00BD622F"/>
    <w:rsid w:val="00BE1C4F"/>
    <w:rsid w:val="00BE3D82"/>
    <w:rsid w:val="00BF0EF3"/>
    <w:rsid w:val="00C03969"/>
    <w:rsid w:val="00C1449E"/>
    <w:rsid w:val="00C15DAD"/>
    <w:rsid w:val="00C250FF"/>
    <w:rsid w:val="00C25320"/>
    <w:rsid w:val="00C321C3"/>
    <w:rsid w:val="00C53394"/>
    <w:rsid w:val="00C56A2A"/>
    <w:rsid w:val="00C60EB3"/>
    <w:rsid w:val="00C61948"/>
    <w:rsid w:val="00C62093"/>
    <w:rsid w:val="00C6410A"/>
    <w:rsid w:val="00C77872"/>
    <w:rsid w:val="00C82476"/>
    <w:rsid w:val="00C83B45"/>
    <w:rsid w:val="00C901D4"/>
    <w:rsid w:val="00C94A04"/>
    <w:rsid w:val="00CA7032"/>
    <w:rsid w:val="00CA70AC"/>
    <w:rsid w:val="00CA7161"/>
    <w:rsid w:val="00CA7F6D"/>
    <w:rsid w:val="00CD1B72"/>
    <w:rsid w:val="00CD45FD"/>
    <w:rsid w:val="00CE28BC"/>
    <w:rsid w:val="00CE5392"/>
    <w:rsid w:val="00CE5633"/>
    <w:rsid w:val="00D013E2"/>
    <w:rsid w:val="00D1274C"/>
    <w:rsid w:val="00D1282E"/>
    <w:rsid w:val="00D14770"/>
    <w:rsid w:val="00D220A4"/>
    <w:rsid w:val="00D26149"/>
    <w:rsid w:val="00D419F9"/>
    <w:rsid w:val="00D41CA6"/>
    <w:rsid w:val="00D46415"/>
    <w:rsid w:val="00D46CB0"/>
    <w:rsid w:val="00D47BDD"/>
    <w:rsid w:val="00D516CD"/>
    <w:rsid w:val="00D57A71"/>
    <w:rsid w:val="00D61B3E"/>
    <w:rsid w:val="00D700F9"/>
    <w:rsid w:val="00DA3B4B"/>
    <w:rsid w:val="00DA6BD7"/>
    <w:rsid w:val="00DB4348"/>
    <w:rsid w:val="00DB5A04"/>
    <w:rsid w:val="00DB7AB5"/>
    <w:rsid w:val="00DC3921"/>
    <w:rsid w:val="00DC4C4A"/>
    <w:rsid w:val="00DC5C96"/>
    <w:rsid w:val="00DE0B2B"/>
    <w:rsid w:val="00DE2F9C"/>
    <w:rsid w:val="00DE7223"/>
    <w:rsid w:val="00DF248A"/>
    <w:rsid w:val="00DF69EB"/>
    <w:rsid w:val="00E03EA1"/>
    <w:rsid w:val="00E107F8"/>
    <w:rsid w:val="00E16972"/>
    <w:rsid w:val="00E30F4C"/>
    <w:rsid w:val="00E310FB"/>
    <w:rsid w:val="00E4263F"/>
    <w:rsid w:val="00E54390"/>
    <w:rsid w:val="00E54F3D"/>
    <w:rsid w:val="00E60E26"/>
    <w:rsid w:val="00E63EFE"/>
    <w:rsid w:val="00E654C7"/>
    <w:rsid w:val="00E73984"/>
    <w:rsid w:val="00E7442C"/>
    <w:rsid w:val="00E85334"/>
    <w:rsid w:val="00E926EA"/>
    <w:rsid w:val="00E96247"/>
    <w:rsid w:val="00E96543"/>
    <w:rsid w:val="00EA7A3A"/>
    <w:rsid w:val="00EB2BDC"/>
    <w:rsid w:val="00EC7912"/>
    <w:rsid w:val="00EC7CC3"/>
    <w:rsid w:val="00ED13B1"/>
    <w:rsid w:val="00ED25DC"/>
    <w:rsid w:val="00ED3A29"/>
    <w:rsid w:val="00ED783C"/>
    <w:rsid w:val="00EE0164"/>
    <w:rsid w:val="00F04EC8"/>
    <w:rsid w:val="00F06C38"/>
    <w:rsid w:val="00F1744C"/>
    <w:rsid w:val="00F2255F"/>
    <w:rsid w:val="00F35A09"/>
    <w:rsid w:val="00F3640C"/>
    <w:rsid w:val="00F3695A"/>
    <w:rsid w:val="00F3795C"/>
    <w:rsid w:val="00F4462A"/>
    <w:rsid w:val="00F5420F"/>
    <w:rsid w:val="00F6771A"/>
    <w:rsid w:val="00F7405D"/>
    <w:rsid w:val="00F85304"/>
    <w:rsid w:val="00F9300A"/>
    <w:rsid w:val="00F966AE"/>
    <w:rsid w:val="00FB2AD6"/>
    <w:rsid w:val="00FB6005"/>
    <w:rsid w:val="00FC4CD4"/>
    <w:rsid w:val="00FC6453"/>
    <w:rsid w:val="00FD4407"/>
    <w:rsid w:val="00FE1329"/>
    <w:rsid w:val="00FE1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07172C"/>
  <w15:chartTrackingRefBased/>
  <w15:docId w15:val="{BB49A8FB-C743-41F0-88EC-4E5AD6584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5C96"/>
  </w:style>
  <w:style w:type="paragraph" w:styleId="Heading1">
    <w:name w:val="heading 1"/>
    <w:aliases w:val="H1,h1,Heading 1 3GPP"/>
    <w:next w:val="Normal"/>
    <w:link w:val="Heading1Char"/>
    <w:qFormat/>
    <w:rsid w:val="000C12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00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1E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45C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C124B"/>
    <w:rPr>
      <w:rFonts w:ascii="Arial" w:eastAsia="SimSun" w:hAnsi="Arial" w:cs="Times New Roman"/>
      <w:sz w:val="36"/>
      <w:szCs w:val="20"/>
      <w:lang w:val="en-GB"/>
    </w:rPr>
  </w:style>
  <w:style w:type="paragraph" w:customStyle="1" w:styleId="B1">
    <w:name w:val="B1"/>
    <w:basedOn w:val="List"/>
    <w:link w:val="B1Zchn"/>
    <w:qFormat/>
    <w:rsid w:val="000C124B"/>
    <w:pPr>
      <w:spacing w:after="180" w:line="240" w:lineRule="auto"/>
      <w:ind w:left="568" w:hanging="284"/>
      <w:contextualSpacing w:val="0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1Zchn">
    <w:name w:val="B1 Zchn"/>
    <w:link w:val="B1"/>
    <w:rsid w:val="000C124B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0C124B"/>
    <w:pPr>
      <w:ind w:left="360" w:hanging="360"/>
      <w:contextualSpacing/>
    </w:pPr>
  </w:style>
  <w:style w:type="table" w:styleId="TableGrid">
    <w:name w:val="Table Grid"/>
    <w:basedOn w:val="TableNormal"/>
    <w:uiPriority w:val="39"/>
    <w:rsid w:val="00D22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220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220A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CommentReference">
    <w:name w:val="annotation reference"/>
    <w:basedOn w:val="DefaultParagraphFont"/>
    <w:qFormat/>
    <w:rsid w:val="00D220A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D220A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qFormat/>
    <w:rsid w:val="00D220A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1EE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HChar">
    <w:name w:val="TH Char"/>
    <w:link w:val="TH"/>
    <w:qFormat/>
    <w:locked/>
    <w:rsid w:val="008A1EEB"/>
    <w:rPr>
      <w:rFonts w:ascii="Arial" w:eastAsia="Times New Roman" w:hAnsi="Arial" w:cs="Arial"/>
      <w:b/>
      <w:lang w:val="en-GB" w:eastAsia="ja-JP"/>
    </w:rPr>
  </w:style>
  <w:style w:type="paragraph" w:customStyle="1" w:styleId="TH">
    <w:name w:val="TH"/>
    <w:basedOn w:val="Normal"/>
    <w:link w:val="THChar"/>
    <w:qFormat/>
    <w:rsid w:val="008A1EE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="Times New Roman" w:hAnsi="Arial" w:cs="Arial"/>
      <w:b/>
      <w:lang w:val="en-GB" w:eastAsia="ja-JP"/>
    </w:rPr>
  </w:style>
  <w:style w:type="character" w:customStyle="1" w:styleId="B1Char1">
    <w:name w:val="B1 Char1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45C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2Char">
    <w:name w:val="B2 Char"/>
    <w:link w:val="B2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paragraph" w:customStyle="1" w:styleId="B2">
    <w:name w:val="B2"/>
    <w:basedOn w:val="List2"/>
    <w:link w:val="B2Char"/>
    <w:qFormat/>
    <w:rsid w:val="003145C8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B3Char2">
    <w:name w:val="B3 Char2"/>
    <w:link w:val="B3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3145C8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</w:pPr>
    <w:rPr>
      <w:rFonts w:ascii="Times New Roman" w:eastAsia="Times New Roman" w:hAnsi="Times New Roman" w:cs="Times New Roman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3145C8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3145C8"/>
    <w:pPr>
      <w:ind w:left="1080" w:hanging="360"/>
      <w:contextualSpacing/>
    </w:pPr>
  </w:style>
  <w:style w:type="character" w:customStyle="1" w:styleId="NOChar">
    <w:name w:val="NO Char"/>
    <w:link w:val="NO"/>
    <w:qFormat/>
    <w:locked/>
    <w:rsid w:val="00CA7032"/>
    <w:rPr>
      <w:rFonts w:ascii="Times New Roman" w:eastAsia="Times New Roman" w:hAnsi="Times New Roman" w:cs="Times New Roman"/>
      <w:lang w:val="en-GB" w:eastAsia="ja-JP"/>
    </w:rPr>
  </w:style>
  <w:style w:type="paragraph" w:customStyle="1" w:styleId="NO">
    <w:name w:val="NO"/>
    <w:basedOn w:val="Normal"/>
    <w:link w:val="NOChar"/>
    <w:qFormat/>
    <w:rsid w:val="00CA703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sid w:val="007F0388"/>
    <w:pPr>
      <w:textAlignment w:val="baseline"/>
    </w:pPr>
    <w:rPr>
      <w:color w:val="FF0000"/>
      <w:sz w:val="20"/>
      <w:szCs w:val="20"/>
    </w:rPr>
  </w:style>
  <w:style w:type="character" w:customStyle="1" w:styleId="EditorsNoteChar">
    <w:name w:val="Editor's Note Char"/>
    <w:link w:val="EditorsNote"/>
    <w:rsid w:val="007F0388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character" w:customStyle="1" w:styleId="NOChar1">
    <w:name w:val="NO Char1"/>
    <w:qFormat/>
    <w:rsid w:val="007F0388"/>
  </w:style>
  <w:style w:type="character" w:customStyle="1" w:styleId="Heading2Char">
    <w:name w:val="Heading 2 Char"/>
    <w:basedOn w:val="DefaultParagraphFont"/>
    <w:link w:val="Heading2"/>
    <w:uiPriority w:val="9"/>
    <w:rsid w:val="0073009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1Char">
    <w:name w:val="B1 Char"/>
    <w:qFormat/>
    <w:rsid w:val="008B665C"/>
  </w:style>
  <w:style w:type="paragraph" w:styleId="ListParagraph">
    <w:name w:val="List Paragraph"/>
    <w:aliases w:val="- Bullets,リスト段落,?? ??,?????,????,Lista1,목록 단락,¥¡¡¡¡ì¬º¥¹¥È¶ÎÂä,ÁÐ³ö¶ÎÂä,列出段落,列出段落1,中等深浅网格 1 - 着色 21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F966AE"/>
    <w:pPr>
      <w:overflowPunct w:val="0"/>
      <w:autoSpaceDE w:val="0"/>
      <w:autoSpaceDN w:val="0"/>
      <w:adjustRightInd w:val="0"/>
      <w:spacing w:before="60" w:after="12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목록 단락 Char,¥¡¡¡¡ì¬º¥¹¥È¶ÎÂä Char,ÁÐ³ö¶ÎÂä Char,列出段落 Char,列出段落1 Char,中等深浅网格 1 - 着色 21 Char,列表段落1 Char,—ño’i—Ž Char,¥ê¥¹¥È¶ÎÂä Char,Lettre d'introduction Char"/>
    <w:link w:val="ListParagraph"/>
    <w:uiPriority w:val="34"/>
    <w:qFormat/>
    <w:locked/>
    <w:rsid w:val="00F966A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56B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56B8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Caption">
    <w:name w:val="caption"/>
    <w:aliases w:val="First line:  0.5&quot;,cap,cap Char,Caption Char,Caption Char1 Char,cap Char Char1,Caption Char Char1 Char,cap Char2,条目,cap Char Char Char Char Char Char Char,Caption Char2,Caption Char Char Char,Caption Char Char1,fig and tbl,fighead2,Table Caption"/>
    <w:basedOn w:val="Normal"/>
    <w:next w:val="Normal"/>
    <w:link w:val="CaptionChar1"/>
    <w:uiPriority w:val="99"/>
    <w:qFormat/>
    <w:rsid w:val="004D1BB9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aptionChar1">
    <w:name w:val="Caption Char1"/>
    <w:aliases w:val="First line:  0.5&quot; Char,cap Char1,cap Char Char,Caption Char Char,Caption Char1 Char Char,cap Char Char1 Char,Caption Char Char1 Char Char,cap Char2 Char,条目 Char,cap Char Char Char Char Char Char Char Char,Caption Char2 Char,fighead2 Char"/>
    <w:link w:val="Caption"/>
    <w:uiPriority w:val="99"/>
    <w:rsid w:val="004D1BB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C64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C6453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C645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C6453"/>
    <w:rPr>
      <w:sz w:val="18"/>
      <w:szCs w:val="18"/>
    </w:rPr>
  </w:style>
  <w:style w:type="paragraph" w:customStyle="1" w:styleId="Comments">
    <w:name w:val="Comments"/>
    <w:basedOn w:val="Normal"/>
    <w:link w:val="CommentsChar"/>
    <w:qFormat/>
    <w:rsid w:val="0051762B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51762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Proposal">
    <w:name w:val="Proposal"/>
    <w:basedOn w:val="Normal"/>
    <w:qFormat/>
    <w:rsid w:val="00324F3B"/>
    <w:pPr>
      <w:numPr>
        <w:numId w:val="11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Observation">
    <w:name w:val="Observation"/>
    <w:basedOn w:val="Normal"/>
    <w:qFormat/>
    <w:rsid w:val="0061405D"/>
    <w:pPr>
      <w:numPr>
        <w:numId w:val="13"/>
      </w:numPr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 w:cs="Times New Roman"/>
      <w:b/>
      <w:sz w:val="20"/>
      <w:szCs w:val="20"/>
      <w:lang w:val="en-GB" w:eastAsia="zh-CN"/>
    </w:rPr>
  </w:style>
  <w:style w:type="character" w:styleId="Emphasis">
    <w:name w:val="Emphasis"/>
    <w:uiPriority w:val="20"/>
    <w:qFormat/>
    <w:rsid w:val="00EB2BDC"/>
    <w:rPr>
      <w:i/>
      <w:iCs/>
    </w:rPr>
  </w:style>
  <w:style w:type="paragraph" w:customStyle="1" w:styleId="Agreement">
    <w:name w:val="Agreement"/>
    <w:basedOn w:val="Normal"/>
    <w:next w:val="Normal"/>
    <w:qFormat/>
    <w:rsid w:val="00E4263F"/>
    <w:pPr>
      <w:numPr>
        <w:numId w:val="18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B6260-8BDA-46BD-A3CB-1D5BC92AE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943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Prateek</dc:creator>
  <cp:keywords/>
  <dc:description/>
  <cp:lastModifiedBy>Lenovo Prateek</cp:lastModifiedBy>
  <cp:revision>12</cp:revision>
  <dcterms:created xsi:type="dcterms:W3CDTF">2022-09-29T09:49:00Z</dcterms:created>
  <dcterms:modified xsi:type="dcterms:W3CDTF">2022-09-29T15:12:00Z</dcterms:modified>
</cp:coreProperties>
</file>